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44" w:rsidRPr="00BF7C4B" w:rsidRDefault="007637D5" w:rsidP="000B0644">
      <w:pPr>
        <w:framePr w:w="9639" w:h="301" w:wrap="around" w:hAnchor="page" w:x="1135" w:yAlign="top"/>
        <w:spacing w:line="260" w:lineRule="atLeast"/>
        <w:jc w:val="center"/>
        <w:rPr>
          <w:rFonts w:ascii="돋움" w:eastAsia="돋움" w:hAnsi="돋움"/>
        </w:rPr>
      </w:pPr>
      <w:r>
        <w:rPr>
          <w:rFonts w:ascii="돋움" w:eastAsia="돋움" w:hAnsi="돋움"/>
          <w:b/>
          <w:bCs/>
          <w:sz w:val="26"/>
          <w:szCs w:val="26"/>
        </w:rPr>
        <w:t>P</w:t>
      </w:r>
      <w:r w:rsidR="00345F43">
        <w:rPr>
          <w:rFonts w:ascii="돋움" w:eastAsia="돋움" w:hAnsi="돋움"/>
          <w:b/>
          <w:bCs/>
          <w:sz w:val="26"/>
          <w:szCs w:val="26"/>
        </w:rPr>
        <w:t>lanar Ultra-Wideband Absorber Based on TCDA-under-TCDA (Tightly Coupled Dipole Array)</w:t>
      </w:r>
    </w:p>
    <w:p w:rsidR="000B0644" w:rsidRPr="000B0644" w:rsidRDefault="000B0644" w:rsidP="000B0644">
      <w:pPr>
        <w:framePr w:w="9639" w:h="301" w:wrap="around" w:hAnchor="page" w:x="1135" w:yAlign="top"/>
        <w:spacing w:line="260" w:lineRule="atLeast"/>
        <w:jc w:val="center"/>
        <w:rPr>
          <w:rFonts w:ascii="바탕" w:eastAsia="바탕" w:hAnsi="바탕"/>
          <w:b/>
        </w:rPr>
      </w:pPr>
    </w:p>
    <w:p w:rsidR="007637D5" w:rsidRPr="007C013D" w:rsidRDefault="007637D5" w:rsidP="007637D5">
      <w:pPr>
        <w:framePr w:w="9639" w:h="301" w:wrap="around" w:hAnchor="page" w:x="1135" w:yAlign="top"/>
        <w:spacing w:line="260" w:lineRule="atLeast"/>
        <w:jc w:val="center"/>
        <w:rPr>
          <w:rFonts w:ascii="바탕" w:eastAsia="바탕" w:hAnsi="바탕"/>
        </w:rPr>
      </w:pPr>
      <w:r>
        <w:rPr>
          <w:rFonts w:ascii="바탕" w:eastAsia="바탕" w:hAnsi="바탕" w:hint="eastAsia"/>
          <w:b/>
          <w:bCs/>
        </w:rPr>
        <w:t>김성중</w:t>
      </w:r>
      <w:r w:rsidRPr="000B0644">
        <w:rPr>
          <w:rFonts w:ascii="바탕" w:eastAsia="바탕" w:hAnsi="바탕" w:hint="eastAsia"/>
          <w:b/>
          <w:bCs/>
        </w:rPr>
        <w:t xml:space="preserve">* </w:t>
      </w:r>
      <w:r w:rsidRPr="002A460D">
        <w:rPr>
          <w:rFonts w:ascii="바탕" w:eastAsia="바탕" w:hAnsi="바탕" w:hint="eastAsia"/>
          <w:b/>
          <w:bCs/>
        </w:rPr>
        <w:t>·</w:t>
      </w:r>
      <w:r w:rsidRPr="000B0644">
        <w:rPr>
          <w:rFonts w:ascii="바탕" w:eastAsia="바탕" w:hAnsi="바탕" w:hint="eastAsia"/>
          <w:b/>
          <w:bCs/>
        </w:rPr>
        <w:t xml:space="preserve"> </w:t>
      </w:r>
      <w:r>
        <w:rPr>
          <w:rFonts w:ascii="바탕" w:eastAsia="바탕" w:hAnsi="바탕" w:hint="eastAsia"/>
          <w:b/>
          <w:bCs/>
        </w:rPr>
        <w:t>남상욱</w:t>
      </w:r>
      <w:r w:rsidRPr="000B0644">
        <w:rPr>
          <w:rFonts w:ascii="바탕" w:eastAsia="바탕" w:hAnsi="바탕" w:hint="eastAsia"/>
          <w:b/>
          <w:bCs/>
        </w:rPr>
        <w:t>**</w:t>
      </w:r>
    </w:p>
    <w:p w:rsidR="007637D5" w:rsidRPr="007C013D" w:rsidRDefault="007637D5" w:rsidP="007637D5">
      <w:pPr>
        <w:framePr w:w="9639" w:h="301" w:wrap="around" w:hAnchor="page" w:x="1135" w:yAlign="top"/>
        <w:spacing w:line="260" w:lineRule="atLeast"/>
        <w:jc w:val="center"/>
        <w:rPr>
          <w:rFonts w:ascii="바탕" w:eastAsia="바탕" w:hAnsi="바탕"/>
        </w:rPr>
      </w:pPr>
      <w:r>
        <w:rPr>
          <w:rFonts w:ascii="바탕" w:eastAsia="바탕" w:hAnsi="바탕"/>
          <w:b/>
          <w:bCs/>
        </w:rPr>
        <w:t>Seongjung Kim*</w:t>
      </w:r>
      <w:r w:rsidRPr="000B0644">
        <w:rPr>
          <w:rFonts w:ascii="바탕" w:eastAsia="바탕" w:hAnsi="바탕"/>
          <w:b/>
          <w:bCs/>
        </w:rPr>
        <w:t xml:space="preserve"> </w:t>
      </w:r>
      <w:r w:rsidRPr="002A460D">
        <w:rPr>
          <w:rFonts w:ascii="바탕" w:eastAsia="바탕" w:hAnsi="바탕" w:hint="eastAsia"/>
          <w:b/>
          <w:bCs/>
        </w:rPr>
        <w:t>·</w:t>
      </w:r>
      <w:r w:rsidRPr="000B0644">
        <w:rPr>
          <w:rFonts w:ascii="바탕" w:eastAsia="바탕" w:hAnsi="바탕"/>
          <w:b/>
          <w:bCs/>
        </w:rPr>
        <w:t xml:space="preserve"> </w:t>
      </w:r>
      <w:r>
        <w:rPr>
          <w:rFonts w:ascii="바탕" w:eastAsia="바탕" w:hAnsi="바탕"/>
          <w:b/>
          <w:bCs/>
        </w:rPr>
        <w:t>Sangwook Nam**</w:t>
      </w:r>
    </w:p>
    <w:p w:rsidR="007637D5" w:rsidRDefault="007637D5" w:rsidP="007637D5">
      <w:pPr>
        <w:framePr w:w="9639" w:h="301" w:wrap="around" w:hAnchor="page" w:x="1135" w:yAlign="top"/>
        <w:spacing w:line="260" w:lineRule="atLeast"/>
        <w:jc w:val="center"/>
        <w:rPr>
          <w:rFonts w:ascii="바탕" w:eastAsia="바탕" w:hAnsi="바탕"/>
          <w:b/>
          <w:bCs/>
        </w:rPr>
      </w:pPr>
    </w:p>
    <w:p w:rsidR="007637D5" w:rsidRPr="007C013D" w:rsidRDefault="007637D5" w:rsidP="007637D5">
      <w:pPr>
        <w:framePr w:w="9639" w:h="301" w:wrap="around" w:hAnchor="page" w:x="1135" w:yAlign="top"/>
        <w:spacing w:line="260" w:lineRule="atLeast"/>
        <w:jc w:val="center"/>
        <w:rPr>
          <w:rFonts w:ascii="바탕" w:eastAsia="바탕" w:hAnsi="바탕"/>
          <w:b/>
          <w:bCs/>
        </w:rPr>
      </w:pPr>
      <w:r w:rsidRPr="007C013D">
        <w:rPr>
          <w:rFonts w:ascii="바탕" w:eastAsia="바탕" w:hAnsi="바탕" w:hint="eastAsia"/>
          <w:b/>
          <w:bCs/>
        </w:rPr>
        <w:t xml:space="preserve">* </w:t>
      </w:r>
      <w:r>
        <w:rPr>
          <w:rFonts w:ascii="바탕" w:eastAsia="바탕" w:hAnsi="바탕" w:hint="eastAsia"/>
          <w:b/>
          <w:bCs/>
        </w:rPr>
        <w:t>서울대학교 전기정보공학부</w:t>
      </w:r>
    </w:p>
    <w:p w:rsidR="007637D5" w:rsidRPr="007C013D" w:rsidRDefault="007637D5" w:rsidP="007637D5">
      <w:pPr>
        <w:framePr w:w="9639" w:h="301" w:wrap="around" w:hAnchor="page" w:x="1135" w:yAlign="top"/>
        <w:spacing w:line="260" w:lineRule="atLeast"/>
        <w:jc w:val="center"/>
        <w:rPr>
          <w:rFonts w:ascii="바탕" w:eastAsia="바탕" w:hAnsi="바탕"/>
          <w:b/>
          <w:bCs/>
        </w:rPr>
      </w:pPr>
      <w:r w:rsidRPr="007C013D">
        <w:rPr>
          <w:rFonts w:ascii="바탕" w:eastAsia="바탕" w:hAnsi="바탕" w:hint="eastAsia"/>
          <w:b/>
          <w:bCs/>
        </w:rPr>
        <w:t>*</w:t>
      </w:r>
      <w:r w:rsidRPr="007C013D">
        <w:rPr>
          <w:rFonts w:ascii="바탕" w:eastAsia="바탕" w:hAnsi="바탕"/>
          <w:b/>
          <w:bCs/>
        </w:rPr>
        <w:t xml:space="preserve">* </w:t>
      </w:r>
      <w:r>
        <w:rPr>
          <w:rFonts w:ascii="바탕" w:eastAsia="바탕" w:hAnsi="바탕" w:hint="eastAsia"/>
          <w:b/>
          <w:bCs/>
        </w:rPr>
        <w:t>서울대학교 전기정보공학부</w:t>
      </w:r>
    </w:p>
    <w:p w:rsidR="007637D5" w:rsidRPr="007C013D" w:rsidRDefault="007637D5" w:rsidP="007637D5">
      <w:pPr>
        <w:framePr w:w="9639" w:h="301" w:wrap="around" w:hAnchor="page" w:x="1135" w:yAlign="top"/>
        <w:spacing w:line="260" w:lineRule="atLeast"/>
        <w:jc w:val="center"/>
        <w:rPr>
          <w:rFonts w:ascii="바탕" w:eastAsia="바탕" w:hAnsi="바탕"/>
          <w:b/>
          <w:bCs/>
        </w:rPr>
      </w:pPr>
      <w:r w:rsidRPr="007C013D">
        <w:rPr>
          <w:rFonts w:ascii="바탕" w:eastAsia="바탕" w:hAnsi="바탕" w:hint="eastAsia"/>
          <w:b/>
          <w:bCs/>
        </w:rPr>
        <w:t>(</w:t>
      </w:r>
      <w:r>
        <w:rPr>
          <w:rFonts w:ascii="바탕" w:eastAsia="바탕" w:hAnsi="바탕" w:hint="eastAsia"/>
          <w:b/>
          <w:bCs/>
        </w:rPr>
        <w:t>sjkim@ael.snu.ac.kr</w:t>
      </w:r>
      <w:r w:rsidRPr="007C013D">
        <w:rPr>
          <w:rFonts w:ascii="바탕" w:eastAsia="바탕" w:hAnsi="바탕" w:hint="eastAsia"/>
          <w:b/>
          <w:bCs/>
        </w:rPr>
        <w:t>)</w:t>
      </w:r>
    </w:p>
    <w:p w:rsidR="000B0644" w:rsidRPr="007637D5" w:rsidRDefault="000B0644" w:rsidP="000B0644">
      <w:pPr>
        <w:framePr w:w="9639" w:h="301" w:wrap="around" w:hAnchor="page" w:x="1135" w:yAlign="top"/>
        <w:spacing w:line="260" w:lineRule="atLeast"/>
        <w:jc w:val="center"/>
        <w:rPr>
          <w:rFonts w:ascii="바탕" w:eastAsia="바탕" w:hAnsi="바탕"/>
          <w:b/>
          <w:bCs/>
        </w:rPr>
      </w:pPr>
    </w:p>
    <w:p w:rsidR="000B0644" w:rsidRPr="007C013D" w:rsidRDefault="000B0644" w:rsidP="000B0644">
      <w:pPr>
        <w:framePr w:w="9639" w:h="301" w:wrap="around" w:hAnchor="page" w:x="1135" w:yAlign="top"/>
        <w:spacing w:line="280" w:lineRule="atLeast"/>
        <w:jc w:val="center"/>
        <w:rPr>
          <w:rFonts w:ascii="바탕" w:eastAsia="바탕" w:hAnsi="바탕"/>
          <w:b/>
          <w:bCs/>
          <w:sz w:val="18"/>
          <w:szCs w:val="18"/>
        </w:rPr>
      </w:pPr>
      <w:r w:rsidRPr="007C013D">
        <w:rPr>
          <w:rFonts w:ascii="바탕" w:eastAsia="바탕" w:hAnsi="바탕"/>
          <w:b/>
          <w:bCs/>
          <w:sz w:val="18"/>
          <w:szCs w:val="18"/>
        </w:rPr>
        <w:t>ABSTRACT</w:t>
      </w:r>
    </w:p>
    <w:p w:rsidR="000B0644" w:rsidRDefault="00934A88" w:rsidP="00A34B23">
      <w:pPr>
        <w:framePr w:w="9639" w:h="301" w:wrap="around" w:hAnchor="page" w:x="1135" w:yAlign="top"/>
        <w:spacing w:line="280" w:lineRule="atLeast"/>
        <w:ind w:firstLineChars="100" w:firstLine="180"/>
        <w:rPr>
          <w:rFonts w:ascii="바탕" w:eastAsia="바탕" w:hAnsi="바탕"/>
          <w:sz w:val="18"/>
          <w:szCs w:val="18"/>
        </w:rPr>
      </w:pPr>
      <w:r>
        <w:rPr>
          <w:rFonts w:ascii="바탕" w:eastAsia="바탕" w:hAnsi="바탕"/>
          <w:sz w:val="18"/>
          <w:szCs w:val="18"/>
        </w:rPr>
        <w:t>A</w:t>
      </w:r>
      <w:r w:rsidRPr="00934A88">
        <w:rPr>
          <w:rFonts w:ascii="바탕" w:eastAsia="바탕" w:hAnsi="바탕"/>
          <w:sz w:val="18"/>
          <w:szCs w:val="18"/>
        </w:rPr>
        <w:t>n ultra-wideband absorber</w:t>
      </w:r>
      <w:r w:rsidRPr="00934A88">
        <w:t xml:space="preserve"> </w:t>
      </w:r>
      <w:r>
        <w:rPr>
          <w:rFonts w:ascii="바탕" w:eastAsia="바탕" w:hAnsi="바탕"/>
          <w:sz w:val="18"/>
          <w:szCs w:val="18"/>
        </w:rPr>
        <w:t>b</w:t>
      </w:r>
      <w:r w:rsidRPr="00934A88">
        <w:rPr>
          <w:rFonts w:ascii="바탕" w:eastAsia="바탕" w:hAnsi="바탕"/>
          <w:sz w:val="18"/>
          <w:szCs w:val="18"/>
        </w:rPr>
        <w:t>ased on TCDA-under-TCDA is proposed. The unit cell of the proposed structure consists of a tightly coupled dipole array (TCDA2) under another TCDA (TCDA1) that is twice the height of TCDA2 (</w:t>
      </w:r>
      <w:r>
        <w:rPr>
          <w:rFonts w:ascii="바탕" w:eastAsia="바탕" w:hAnsi="바탕"/>
          <w:sz w:val="18"/>
          <w:szCs w:val="18"/>
        </w:rPr>
        <w:t xml:space="preserve">that is, </w:t>
      </w:r>
      <w:r w:rsidRPr="00934A88">
        <w:rPr>
          <w:rFonts w:ascii="바탕" w:eastAsia="바탕" w:hAnsi="바탕"/>
          <w:sz w:val="18"/>
          <w:szCs w:val="18"/>
        </w:rPr>
        <w:t xml:space="preserve">TCDA-under-TCDA structure). Reciprocity is applied to TCDA1 as an absorber when the frequency is out of the operating frequency range of TCDA2. On the other hand, the </w:t>
      </w:r>
      <w:r>
        <w:rPr>
          <w:rFonts w:ascii="바탕" w:eastAsia="바탕" w:hAnsi="바탕"/>
          <w:sz w:val="18"/>
          <w:szCs w:val="18"/>
        </w:rPr>
        <w:t>superstrate (impedance-down transformer)</w:t>
      </w:r>
      <w:r w:rsidRPr="00934A88">
        <w:rPr>
          <w:rFonts w:ascii="바탕" w:eastAsia="바탕" w:hAnsi="바탕"/>
          <w:sz w:val="18"/>
          <w:szCs w:val="18"/>
        </w:rPr>
        <w:t xml:space="preserve"> i</w:t>
      </w:r>
      <w:r>
        <w:rPr>
          <w:rFonts w:ascii="바탕" w:eastAsia="바탕" w:hAnsi="바탕"/>
          <w:sz w:val="18"/>
          <w:szCs w:val="18"/>
        </w:rPr>
        <w:t>s used</w:t>
      </w:r>
      <w:r w:rsidRPr="00934A88">
        <w:rPr>
          <w:rFonts w:ascii="바탕" w:eastAsia="바탕" w:hAnsi="바탕"/>
          <w:sz w:val="18"/>
          <w:szCs w:val="18"/>
        </w:rPr>
        <w:t xml:space="preserve"> for TCDA1 to be an absorber when the frequency is in the operating region of TCDA2 (reciprocity cannot be applied). A –10</w:t>
      </w:r>
      <w:r w:rsidR="00547B11">
        <w:rPr>
          <w:rFonts w:ascii="바탕" w:eastAsia="바탕" w:hAnsi="바탕"/>
          <w:sz w:val="18"/>
          <w:szCs w:val="18"/>
        </w:rPr>
        <w:t xml:space="preserve"> dB reflection bandwidth of 0.61</w:t>
      </w:r>
      <w:r w:rsidRPr="00934A88">
        <w:rPr>
          <w:rFonts w:ascii="바탕" w:eastAsia="바탕" w:hAnsi="바탕"/>
          <w:sz w:val="18"/>
          <w:szCs w:val="18"/>
        </w:rPr>
        <w:t xml:space="preserve"> – 6.5</w:t>
      </w:r>
      <w:r w:rsidR="00547B11">
        <w:rPr>
          <w:rFonts w:ascii="바탕" w:eastAsia="바탕" w:hAnsi="바탕"/>
          <w:sz w:val="18"/>
          <w:szCs w:val="18"/>
        </w:rPr>
        <w:t>0 (10.6:1) is achieved with a 0.1</w:t>
      </w:r>
      <w:r w:rsidRPr="00934A88">
        <w:rPr>
          <w:rFonts w:ascii="바탕" w:eastAsia="바탕" w:hAnsi="바탕"/>
          <w:sz w:val="18"/>
          <w:szCs w:val="18"/>
        </w:rPr>
        <w:t xml:space="preserve"> λ</w:t>
      </w:r>
      <w:r w:rsidRPr="00DE7024">
        <w:rPr>
          <w:rFonts w:ascii="바탕" w:eastAsia="바탕" w:hAnsi="바탕"/>
          <w:sz w:val="18"/>
          <w:szCs w:val="18"/>
          <w:vertAlign w:val="subscript"/>
        </w:rPr>
        <w:t>low</w:t>
      </w:r>
      <w:r w:rsidRPr="00934A88">
        <w:rPr>
          <w:rFonts w:ascii="바탕" w:eastAsia="바탕" w:hAnsi="바탕"/>
          <w:sz w:val="18"/>
          <w:szCs w:val="18"/>
        </w:rPr>
        <w:t xml:space="preserve"> at the lowest operating frequency under normal incidence. The </w:t>
      </w:r>
      <w:r w:rsidR="00AC1DDC">
        <w:rPr>
          <w:rFonts w:ascii="바탕" w:eastAsia="바탕" w:hAnsi="바탕"/>
          <w:sz w:val="18"/>
          <w:szCs w:val="18"/>
        </w:rPr>
        <w:t>–8</w:t>
      </w:r>
      <w:r w:rsidR="00AC1DDC">
        <w:rPr>
          <w:rFonts w:ascii="바탕" w:eastAsia="바탕" w:hAnsi="바탕"/>
          <w:sz w:val="18"/>
          <w:szCs w:val="18"/>
        </w:rPr>
        <w:t xml:space="preserve"> dB</w:t>
      </w:r>
      <w:r w:rsidR="00AC1DDC" w:rsidRPr="00934A88">
        <w:rPr>
          <w:rFonts w:ascii="바탕" w:eastAsia="바탕" w:hAnsi="바탕"/>
          <w:sz w:val="18"/>
          <w:szCs w:val="18"/>
        </w:rPr>
        <w:t xml:space="preserve"> </w:t>
      </w:r>
      <w:r w:rsidRPr="00934A88">
        <w:rPr>
          <w:rFonts w:ascii="바탕" w:eastAsia="바탕" w:hAnsi="바탕"/>
          <w:sz w:val="18"/>
          <w:szCs w:val="18"/>
        </w:rPr>
        <w:t>bandwid</w:t>
      </w:r>
      <w:r w:rsidR="00EF6555">
        <w:rPr>
          <w:rFonts w:ascii="바탕" w:eastAsia="바탕" w:hAnsi="바탕"/>
          <w:sz w:val="18"/>
          <w:szCs w:val="18"/>
        </w:rPr>
        <w:t>th is moderately reduced to 0.63</w:t>
      </w:r>
      <w:r w:rsidRPr="00934A88">
        <w:rPr>
          <w:rFonts w:ascii="바탕" w:eastAsia="바탕" w:hAnsi="바탕"/>
          <w:sz w:val="18"/>
          <w:szCs w:val="18"/>
        </w:rPr>
        <w:t xml:space="preserve"> – 6.</w:t>
      </w:r>
      <w:r w:rsidR="00EF6555">
        <w:rPr>
          <w:rFonts w:ascii="바탕" w:eastAsia="바탕" w:hAnsi="바탕"/>
          <w:sz w:val="18"/>
          <w:szCs w:val="18"/>
        </w:rPr>
        <w:t>69 (10.6:1) with a 0.1</w:t>
      </w:r>
      <w:r w:rsidRPr="00934A88">
        <w:rPr>
          <w:rFonts w:ascii="바탕" w:eastAsia="바탕" w:hAnsi="바탕"/>
          <w:sz w:val="18"/>
          <w:szCs w:val="18"/>
        </w:rPr>
        <w:t xml:space="preserve"> λ</w:t>
      </w:r>
      <w:r w:rsidRPr="00DE7024">
        <w:rPr>
          <w:rFonts w:ascii="바탕" w:eastAsia="바탕" w:hAnsi="바탕"/>
          <w:sz w:val="18"/>
          <w:szCs w:val="18"/>
          <w:vertAlign w:val="subscript"/>
        </w:rPr>
        <w:t>low</w:t>
      </w:r>
      <w:r w:rsidRPr="00934A88">
        <w:rPr>
          <w:rFonts w:ascii="바탕" w:eastAsia="바탕" w:hAnsi="바탕"/>
          <w:sz w:val="18"/>
          <w:szCs w:val="18"/>
        </w:rPr>
        <w:t xml:space="preserve"> for the TE mode </w:t>
      </w:r>
      <w:r w:rsidR="00AC1DDC" w:rsidRPr="00934A88">
        <w:rPr>
          <w:rFonts w:ascii="바탕" w:eastAsia="바탕" w:hAnsi="바탕"/>
          <w:sz w:val="18"/>
          <w:szCs w:val="18"/>
        </w:rPr>
        <w:t>under 4</w:t>
      </w:r>
      <w:r w:rsidR="00AC1DDC">
        <w:rPr>
          <w:rFonts w:ascii="바탕" w:eastAsia="바탕" w:hAnsi="바탕"/>
          <w:sz w:val="18"/>
          <w:szCs w:val="18"/>
        </w:rPr>
        <w:t>0</w:t>
      </w:r>
      <w:r w:rsidR="00AC1DDC" w:rsidRPr="00934A88">
        <w:rPr>
          <w:rFonts w:ascii="MS Gothic" w:eastAsia="MS Gothic" w:hAnsi="MS Gothic" w:cs="MS Gothic" w:hint="eastAsia"/>
          <w:sz w:val="18"/>
          <w:szCs w:val="18"/>
        </w:rPr>
        <w:t>⁰</w:t>
      </w:r>
      <w:r w:rsidR="00AC1DDC">
        <w:rPr>
          <w:rFonts w:ascii="바탕" w:eastAsia="바탕" w:hAnsi="바탕"/>
          <w:sz w:val="18"/>
          <w:szCs w:val="18"/>
        </w:rPr>
        <w:t xml:space="preserve"> oblique incidence</w:t>
      </w:r>
      <w:r w:rsidR="00AC1DDC" w:rsidRPr="00934A88">
        <w:rPr>
          <w:rFonts w:ascii="바탕" w:eastAsia="바탕" w:hAnsi="바탕"/>
          <w:sz w:val="18"/>
          <w:szCs w:val="18"/>
        </w:rPr>
        <w:t xml:space="preserve"> </w:t>
      </w:r>
      <w:r w:rsidRPr="00934A88">
        <w:rPr>
          <w:rFonts w:ascii="바탕" w:eastAsia="바탕" w:hAnsi="바탕"/>
          <w:sz w:val="18"/>
          <w:szCs w:val="18"/>
        </w:rPr>
        <w:t>and</w:t>
      </w:r>
      <w:r w:rsidR="00AC1DDC">
        <w:rPr>
          <w:rFonts w:ascii="바탕" w:eastAsia="바탕" w:hAnsi="바탕"/>
          <w:sz w:val="18"/>
          <w:szCs w:val="18"/>
        </w:rPr>
        <w:t xml:space="preserve"> </w:t>
      </w:r>
      <w:r w:rsidRPr="00934A88">
        <w:rPr>
          <w:rFonts w:ascii="바탕" w:eastAsia="바탕" w:hAnsi="바탕"/>
          <w:sz w:val="18"/>
          <w:szCs w:val="18"/>
        </w:rPr>
        <w:t xml:space="preserve"> </w:t>
      </w:r>
      <w:r w:rsidR="00EF6555">
        <w:rPr>
          <w:rFonts w:ascii="바탕" w:eastAsia="바탕" w:hAnsi="바탕"/>
          <w:sz w:val="18"/>
          <w:szCs w:val="18"/>
        </w:rPr>
        <w:t>0.88</w:t>
      </w:r>
      <w:r w:rsidRPr="00934A88">
        <w:rPr>
          <w:rFonts w:ascii="바탕" w:eastAsia="바탕" w:hAnsi="바탕"/>
          <w:sz w:val="18"/>
          <w:szCs w:val="18"/>
        </w:rPr>
        <w:t xml:space="preserve"> – 6.</w:t>
      </w:r>
      <w:r w:rsidR="00EF6555">
        <w:rPr>
          <w:rFonts w:ascii="바탕" w:eastAsia="바탕" w:hAnsi="바탕"/>
          <w:sz w:val="18"/>
          <w:szCs w:val="18"/>
        </w:rPr>
        <w:t>42 (7.3:1) with a 0.15</w:t>
      </w:r>
      <w:r w:rsidRPr="00934A88">
        <w:rPr>
          <w:rFonts w:ascii="바탕" w:eastAsia="바탕" w:hAnsi="바탕"/>
          <w:sz w:val="18"/>
          <w:szCs w:val="18"/>
        </w:rPr>
        <w:t xml:space="preserve"> λ</w:t>
      </w:r>
      <w:r w:rsidRPr="00DE7024">
        <w:rPr>
          <w:rFonts w:ascii="바탕" w:eastAsia="바탕" w:hAnsi="바탕"/>
          <w:sz w:val="18"/>
          <w:szCs w:val="18"/>
          <w:vertAlign w:val="subscript"/>
        </w:rPr>
        <w:t>low</w:t>
      </w:r>
      <w:r w:rsidR="00EF6555">
        <w:rPr>
          <w:rFonts w:ascii="바탕" w:eastAsia="바탕" w:hAnsi="바탕"/>
          <w:sz w:val="18"/>
          <w:szCs w:val="18"/>
        </w:rPr>
        <w:t xml:space="preserve"> for the TM mode under 70</w:t>
      </w:r>
      <w:r w:rsidRPr="00934A88">
        <w:rPr>
          <w:rFonts w:ascii="MS Gothic" w:eastAsia="MS Gothic" w:hAnsi="MS Gothic" w:cs="MS Gothic" w:hint="eastAsia"/>
          <w:sz w:val="18"/>
          <w:szCs w:val="18"/>
        </w:rPr>
        <w:t>⁰</w:t>
      </w:r>
      <w:r w:rsidR="00A53EAA">
        <w:rPr>
          <w:rFonts w:ascii="바탕" w:eastAsia="바탕" w:hAnsi="바탕"/>
          <w:sz w:val="18"/>
          <w:szCs w:val="18"/>
        </w:rPr>
        <w:t xml:space="preserve"> oblique incidence.</w:t>
      </w:r>
    </w:p>
    <w:p w:rsidR="000B0644" w:rsidRPr="00A53EAA" w:rsidRDefault="000B0644" w:rsidP="000B0644">
      <w:pPr>
        <w:framePr w:w="9639" w:h="301" w:wrap="around" w:hAnchor="page" w:x="1135" w:yAlign="top"/>
        <w:spacing w:line="280" w:lineRule="atLeast"/>
        <w:rPr>
          <w:rFonts w:ascii="바탕" w:eastAsia="바탕" w:hAnsi="바탕"/>
          <w:sz w:val="18"/>
          <w:szCs w:val="18"/>
        </w:rPr>
      </w:pPr>
    </w:p>
    <w:p w:rsidR="000B0644" w:rsidRPr="007C013D" w:rsidRDefault="000B0644" w:rsidP="000B0644">
      <w:pPr>
        <w:framePr w:w="9639" w:h="301" w:wrap="around" w:hAnchor="page" w:x="1135" w:yAlign="top"/>
        <w:spacing w:line="280" w:lineRule="atLeast"/>
        <w:rPr>
          <w:rFonts w:ascii="바탕" w:eastAsia="바탕" w:hAnsi="바탕"/>
          <w:color w:val="FF0000"/>
          <w:sz w:val="18"/>
          <w:szCs w:val="18"/>
        </w:rPr>
      </w:pPr>
      <w:r w:rsidRPr="007C013D">
        <w:rPr>
          <w:rFonts w:ascii="바탕" w:eastAsia="바탕" w:hAnsi="바탕" w:hint="eastAsia"/>
          <w:sz w:val="18"/>
          <w:szCs w:val="18"/>
        </w:rPr>
        <w:t>Key</w:t>
      </w:r>
      <w:r>
        <w:rPr>
          <w:rFonts w:ascii="바탕" w:eastAsia="바탕" w:hAnsi="바탕" w:hint="eastAsia"/>
          <w:sz w:val="18"/>
          <w:szCs w:val="18"/>
        </w:rPr>
        <w:t xml:space="preserve"> W</w:t>
      </w:r>
      <w:r w:rsidRPr="007C013D">
        <w:rPr>
          <w:rFonts w:ascii="바탕" w:eastAsia="바탕" w:hAnsi="바탕" w:hint="eastAsia"/>
          <w:sz w:val="18"/>
          <w:szCs w:val="18"/>
        </w:rPr>
        <w:t xml:space="preserve">ords : </w:t>
      </w:r>
      <w:r w:rsidR="00A2414B" w:rsidRPr="00A2414B">
        <w:rPr>
          <w:rFonts w:ascii="바탕" w:eastAsia="바탕" w:hAnsi="바탕"/>
          <w:color w:val="000000" w:themeColor="text1"/>
          <w:sz w:val="18"/>
          <w:szCs w:val="18"/>
        </w:rPr>
        <w:t>TCDA, ultra-wideband, absorber, low-profile, dual polarization</w:t>
      </w:r>
    </w:p>
    <w:p w:rsidR="00AA0B0C" w:rsidRPr="000B0644" w:rsidRDefault="00AA0B0C" w:rsidP="000B0644">
      <w:pPr>
        <w:framePr w:w="9639" w:h="301" w:wrap="around" w:hAnchor="page" w:x="1135" w:yAlign="top"/>
        <w:spacing w:line="280" w:lineRule="atLeast"/>
        <w:rPr>
          <w:rFonts w:ascii="바탕" w:eastAsia="바탕" w:hAnsi="바탕"/>
          <w:b/>
          <w:color w:val="FF0000"/>
          <w:sz w:val="18"/>
        </w:rPr>
      </w:pPr>
    </w:p>
    <w:p w:rsidR="005A78D9" w:rsidRPr="00BF7C4B" w:rsidRDefault="00707EDE" w:rsidP="007E6CAC">
      <w:pPr>
        <w:autoSpaceDE w:val="0"/>
        <w:autoSpaceDN w:val="0"/>
        <w:spacing w:line="280" w:lineRule="atLeast"/>
        <w:rPr>
          <w:rFonts w:ascii="돋움" w:eastAsia="돋움" w:hAnsi="돋움"/>
          <w:b/>
          <w:sz w:val="18"/>
        </w:rPr>
      </w:pPr>
      <w:r w:rsidRPr="00BF7C4B">
        <w:rPr>
          <w:rFonts w:ascii="돋움" w:eastAsia="돋움" w:hAnsi="돋움" w:hint="eastAsia"/>
          <w:b/>
          <w:sz w:val="18"/>
        </w:rPr>
        <w:t xml:space="preserve">1. </w:t>
      </w:r>
      <w:r w:rsidR="00AD0A35">
        <w:rPr>
          <w:rFonts w:ascii="돋움" w:eastAsia="돋움" w:hAnsi="돋움" w:hint="eastAsia"/>
          <w:b/>
          <w:sz w:val="18"/>
        </w:rPr>
        <w:t>Introduction</w:t>
      </w:r>
    </w:p>
    <w:p w:rsidR="007E6CAC" w:rsidRDefault="00B32141" w:rsidP="00B32141">
      <w:pPr>
        <w:autoSpaceDE w:val="0"/>
        <w:autoSpaceDN w:val="0"/>
        <w:spacing w:line="280" w:lineRule="atLeast"/>
        <w:ind w:firstLineChars="100" w:firstLine="180"/>
        <w:rPr>
          <w:rFonts w:ascii="바탕" w:eastAsia="바탕" w:hAnsi="바탕"/>
          <w:sz w:val="18"/>
          <w:szCs w:val="18"/>
        </w:rPr>
      </w:pPr>
      <w:r>
        <w:rPr>
          <w:rFonts w:ascii="바탕" w:eastAsia="바탕" w:hAnsi="바탕"/>
          <w:sz w:val="18"/>
          <w:szCs w:val="18"/>
        </w:rPr>
        <w:t>With</w:t>
      </w:r>
      <w:r w:rsidRPr="00B32141">
        <w:rPr>
          <w:rFonts w:ascii="바탕" w:eastAsia="바탕" w:hAnsi="바탕"/>
          <w:sz w:val="18"/>
          <w:szCs w:val="18"/>
        </w:rPr>
        <w:t xml:space="preserve"> the advancemen</w:t>
      </w:r>
      <w:r>
        <w:rPr>
          <w:rFonts w:ascii="바탕" w:eastAsia="바탕" w:hAnsi="바탕"/>
          <w:sz w:val="18"/>
          <w:szCs w:val="18"/>
        </w:rPr>
        <w:t>t of radar technologies [1]</w:t>
      </w:r>
      <w:r w:rsidRPr="00B32141">
        <w:rPr>
          <w:rFonts w:ascii="바탕" w:eastAsia="바탕" w:hAnsi="바탕"/>
          <w:sz w:val="18"/>
          <w:szCs w:val="18"/>
        </w:rPr>
        <w:t>, several methodologies have been proposed to prevent the generation of electromagnetic (EM) waves. One such methodology is the use of an absorber to a</w:t>
      </w:r>
      <w:r>
        <w:rPr>
          <w:rFonts w:ascii="바탕" w:eastAsia="바탕" w:hAnsi="바탕"/>
          <w:sz w:val="18"/>
          <w:szCs w:val="18"/>
        </w:rPr>
        <w:t>bsorb incident EM waves [2]</w:t>
      </w:r>
      <w:r w:rsidRPr="00B32141">
        <w:rPr>
          <w:rFonts w:ascii="바탕" w:eastAsia="바탕" w:hAnsi="바탕"/>
          <w:sz w:val="18"/>
          <w:szCs w:val="18"/>
        </w:rPr>
        <w:t>.</w:t>
      </w:r>
      <w:r w:rsidR="00C879E7">
        <w:rPr>
          <w:rFonts w:ascii="바탕" w:eastAsia="바탕" w:hAnsi="바탕"/>
          <w:sz w:val="18"/>
          <w:szCs w:val="18"/>
        </w:rPr>
        <w:t xml:space="preserve"> </w:t>
      </w:r>
      <w:r w:rsidR="00C879E7" w:rsidRPr="00C879E7">
        <w:rPr>
          <w:rFonts w:ascii="바탕" w:eastAsia="바탕" w:hAnsi="바탕" w:hint="eastAsia"/>
          <w:sz w:val="18"/>
          <w:szCs w:val="18"/>
        </w:rPr>
        <w:t>For the absorber’s design, a method based on antennas in a two-port network was proposed using the reciprocity theorem [</w:t>
      </w:r>
      <w:r w:rsidR="00C879E7">
        <w:rPr>
          <w:rFonts w:ascii="바탕" w:eastAsia="바탕" w:hAnsi="바탕"/>
          <w:sz w:val="18"/>
          <w:szCs w:val="18"/>
        </w:rPr>
        <w:t>3</w:t>
      </w:r>
      <w:r w:rsidR="00C879E7">
        <w:rPr>
          <w:rFonts w:ascii="바탕" w:eastAsia="바탕" w:hAnsi="바탕" w:hint="eastAsia"/>
          <w:sz w:val="18"/>
          <w:szCs w:val="18"/>
        </w:rPr>
        <w:t xml:space="preserve">]. In this method, </w:t>
      </w:r>
      <w:r w:rsidR="00C879E7" w:rsidRPr="00C879E7">
        <w:rPr>
          <w:rFonts w:ascii="바탕" w:eastAsia="바탕" w:hAnsi="바탕" w:hint="eastAsia"/>
          <w:sz w:val="18"/>
          <w:szCs w:val="18"/>
        </w:rPr>
        <w:t>lossless antennas used as radiating devices can be adopted as absorbers</w:t>
      </w:r>
      <w:r w:rsidR="00C879E7" w:rsidRPr="00C879E7">
        <w:rPr>
          <w:rFonts w:ascii="바탕" w:eastAsia="바탕" w:hAnsi="바탕"/>
          <w:sz w:val="18"/>
          <w:szCs w:val="18"/>
        </w:rPr>
        <w:t>. However, ultra-wideband TCD</w:t>
      </w:r>
      <w:r w:rsidR="00C879E7">
        <w:rPr>
          <w:rFonts w:ascii="바탕" w:eastAsia="바탕" w:hAnsi="바탕"/>
          <w:sz w:val="18"/>
          <w:szCs w:val="18"/>
        </w:rPr>
        <w:t>A, as reported in [4]</w:t>
      </w:r>
      <w:r w:rsidR="00C879E7" w:rsidRPr="00C879E7">
        <w:rPr>
          <w:rFonts w:ascii="바탕" w:eastAsia="바탕" w:hAnsi="바탕"/>
          <w:sz w:val="18"/>
          <w:szCs w:val="18"/>
        </w:rPr>
        <w:t>, cannot be directly used as an absorber by means of reciprocity since the loss of the antenna is not negligible (radiation efficie</w:t>
      </w:r>
      <w:r w:rsidR="00C879E7">
        <w:rPr>
          <w:rFonts w:ascii="바탕" w:eastAsia="바탕" w:hAnsi="바탕"/>
          <w:sz w:val="18"/>
          <w:szCs w:val="18"/>
        </w:rPr>
        <w:t>ncy &gt; 73 %).</w:t>
      </w:r>
      <w:r w:rsidR="006B2F9E">
        <w:rPr>
          <w:rFonts w:ascii="바탕" w:eastAsia="바탕" w:hAnsi="바탕"/>
          <w:sz w:val="18"/>
          <w:szCs w:val="18"/>
        </w:rPr>
        <w:t xml:space="preserve"> Therefore, in this study, we proposed the way </w:t>
      </w:r>
      <w:r w:rsidR="006B2F9E" w:rsidRPr="006B2F9E">
        <w:rPr>
          <w:rFonts w:ascii="바탕" w:eastAsia="바탕" w:hAnsi="바탕"/>
          <w:sz w:val="18"/>
          <w:szCs w:val="18"/>
        </w:rPr>
        <w:t xml:space="preserve">the antenna-based absorbers can be </w:t>
      </w:r>
      <w:r w:rsidR="006B2F9E">
        <w:rPr>
          <w:rFonts w:ascii="바탕" w:eastAsia="바탕" w:hAnsi="바탕"/>
          <w:sz w:val="18"/>
          <w:szCs w:val="18"/>
        </w:rPr>
        <w:t>designed using not only lossless but also</w:t>
      </w:r>
      <w:r w:rsidR="009E24D9">
        <w:rPr>
          <w:rFonts w:ascii="바탕" w:eastAsia="바탕" w:hAnsi="바탕"/>
          <w:sz w:val="18"/>
          <w:szCs w:val="18"/>
        </w:rPr>
        <w:t xml:space="preserve"> lossy antennas.</w:t>
      </w:r>
    </w:p>
    <w:p w:rsidR="007E6CAC" w:rsidRPr="007C013D" w:rsidRDefault="007E6CAC" w:rsidP="007B176C">
      <w:pPr>
        <w:autoSpaceDE w:val="0"/>
        <w:autoSpaceDN w:val="0"/>
        <w:spacing w:line="280" w:lineRule="atLeast"/>
        <w:rPr>
          <w:rFonts w:ascii="바탕" w:eastAsia="바탕" w:hAnsi="바탕"/>
          <w:sz w:val="18"/>
        </w:rPr>
      </w:pPr>
    </w:p>
    <w:p w:rsidR="005A78D9" w:rsidRPr="00BF7C4B" w:rsidRDefault="005A78D9" w:rsidP="007B176C">
      <w:pPr>
        <w:autoSpaceDE w:val="0"/>
        <w:autoSpaceDN w:val="0"/>
        <w:spacing w:line="280" w:lineRule="atLeast"/>
        <w:rPr>
          <w:rFonts w:ascii="돋움" w:eastAsia="돋움" w:hAnsi="돋움"/>
        </w:rPr>
      </w:pPr>
      <w:r w:rsidRPr="00BF7C4B">
        <w:rPr>
          <w:rFonts w:ascii="돋움" w:eastAsia="돋움" w:hAnsi="돋움"/>
          <w:b/>
          <w:bCs/>
          <w:sz w:val="18"/>
          <w:szCs w:val="18"/>
        </w:rPr>
        <w:t xml:space="preserve">2. </w:t>
      </w:r>
      <w:r w:rsidR="007D4486">
        <w:rPr>
          <w:rFonts w:ascii="돋움" w:eastAsia="돋움" w:hAnsi="돋움" w:hint="eastAsia"/>
          <w:b/>
          <w:bCs/>
          <w:sz w:val="18"/>
          <w:szCs w:val="18"/>
        </w:rPr>
        <w:t>D</w:t>
      </w:r>
      <w:r w:rsidR="007D4486">
        <w:rPr>
          <w:rFonts w:ascii="돋움" w:eastAsia="돋움" w:hAnsi="돋움"/>
          <w:b/>
          <w:bCs/>
          <w:sz w:val="18"/>
          <w:szCs w:val="18"/>
        </w:rPr>
        <w:t xml:space="preserve">esign </w:t>
      </w:r>
      <w:r w:rsidR="009E2D18">
        <w:rPr>
          <w:rFonts w:ascii="돋움" w:eastAsia="돋움" w:hAnsi="돋움"/>
          <w:b/>
          <w:bCs/>
          <w:sz w:val="18"/>
          <w:szCs w:val="18"/>
        </w:rPr>
        <w:t>of the proposed TCDA-under-TCDA based absorber</w:t>
      </w:r>
    </w:p>
    <w:p w:rsidR="007D13E7" w:rsidRDefault="00735436" w:rsidP="00ED7D18">
      <w:pPr>
        <w:autoSpaceDE w:val="0"/>
        <w:autoSpaceDN w:val="0"/>
        <w:spacing w:line="280" w:lineRule="atLeast"/>
        <w:ind w:firstLine="180"/>
        <w:rPr>
          <w:rFonts w:ascii="바탕" w:eastAsia="바탕" w:hAnsi="바탕"/>
          <w:sz w:val="18"/>
          <w:szCs w:val="18"/>
        </w:rPr>
      </w:pPr>
      <w:r>
        <w:rPr>
          <w:rFonts w:ascii="바탕" w:eastAsia="바탕" w:hAnsi="바탕" w:hint="eastAsia"/>
          <w:sz w:val="18"/>
          <w:szCs w:val="18"/>
        </w:rPr>
        <w:t xml:space="preserve">For </w:t>
      </w:r>
      <w:r>
        <w:rPr>
          <w:rFonts w:ascii="바탕" w:eastAsia="바탕" w:hAnsi="바탕"/>
          <w:sz w:val="18"/>
          <w:szCs w:val="18"/>
        </w:rPr>
        <w:t>conventional TCDAs, the operating bandwidth is about 4~6:1 [5].</w:t>
      </w:r>
      <w:r w:rsidR="00A9373D">
        <w:rPr>
          <w:rFonts w:ascii="바탕" w:eastAsia="바탕" w:hAnsi="바탕"/>
          <w:sz w:val="18"/>
          <w:szCs w:val="18"/>
        </w:rPr>
        <w:t xml:space="preserve"> Therefore, the operating bandwidth of TCDA absorber by reciprocity is </w:t>
      </w:r>
      <w:r w:rsidR="00FD2D96">
        <w:rPr>
          <w:rFonts w:ascii="바탕" w:eastAsia="바탕" w:hAnsi="바탕"/>
          <w:sz w:val="18"/>
          <w:szCs w:val="18"/>
        </w:rPr>
        <w:t xml:space="preserve">also </w:t>
      </w:r>
      <w:r w:rsidR="00A9373D">
        <w:rPr>
          <w:rFonts w:ascii="바탕" w:eastAsia="바탕" w:hAnsi="바탕"/>
          <w:sz w:val="18"/>
          <w:szCs w:val="18"/>
        </w:rPr>
        <w:t>limited to that.</w:t>
      </w:r>
      <w:r w:rsidR="00FD2D96">
        <w:rPr>
          <w:rFonts w:ascii="바탕" w:eastAsia="바탕" w:hAnsi="바탕"/>
          <w:sz w:val="18"/>
          <w:szCs w:val="18"/>
        </w:rPr>
        <w:t xml:space="preserve"> </w:t>
      </w:r>
      <w:r w:rsidR="007F0329" w:rsidRPr="007F0329">
        <w:rPr>
          <w:rFonts w:ascii="바탕" w:eastAsia="바탕" w:hAnsi="바탕"/>
          <w:sz w:val="18"/>
          <w:szCs w:val="18"/>
        </w:rPr>
        <w:t>In the case of TCDA, which is twice as high as the others,</w:t>
      </w:r>
      <w:r w:rsidR="007F0329">
        <w:rPr>
          <w:rFonts w:ascii="바탕" w:eastAsia="바탕" w:hAnsi="바탕"/>
          <w:sz w:val="18"/>
          <w:szCs w:val="18"/>
        </w:rPr>
        <w:t xml:space="preserve"> </w:t>
      </w:r>
      <w:r w:rsidR="00A00F8A">
        <w:rPr>
          <w:rFonts w:ascii="바탕" w:eastAsia="바탕" w:hAnsi="바탕"/>
          <w:sz w:val="18"/>
          <w:szCs w:val="18"/>
        </w:rPr>
        <w:t>half of lowest</w:t>
      </w:r>
      <w:r w:rsidR="00437FAF">
        <w:rPr>
          <w:rFonts w:ascii="바탕" w:eastAsia="바탕" w:hAnsi="바탕"/>
          <w:sz w:val="18"/>
          <w:szCs w:val="18"/>
        </w:rPr>
        <w:t xml:space="preserve"> operating band can be obtained but middle and higher band may be lost.</w:t>
      </w:r>
      <w:r w:rsidR="00ED5091">
        <w:rPr>
          <w:rFonts w:ascii="바탕" w:eastAsia="바탕" w:hAnsi="바탕"/>
          <w:sz w:val="18"/>
          <w:szCs w:val="18"/>
        </w:rPr>
        <w:t xml:space="preserve"> In our scheme, as shown in Fig. 1, we design </w:t>
      </w:r>
    </w:p>
    <w:p w:rsidR="007D13E7" w:rsidRDefault="007D13E7" w:rsidP="007D13E7">
      <w:pPr>
        <w:autoSpaceDE w:val="0"/>
        <w:autoSpaceDN w:val="0"/>
        <w:spacing w:line="280" w:lineRule="atLeast"/>
        <w:rPr>
          <w:rFonts w:ascii="바탕" w:eastAsia="바탕" w:hAnsi="바탕"/>
          <w:sz w:val="18"/>
          <w:szCs w:val="18"/>
        </w:rPr>
      </w:pPr>
      <w:r>
        <w:rPr>
          <w:noProof/>
        </w:rPr>
        <w:drawing>
          <wp:inline distT="0" distB="0" distL="0" distR="0" wp14:anchorId="59D93FE6" wp14:editId="7E753B35">
            <wp:extent cx="2933700" cy="145097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33700" cy="1450975"/>
                    </a:xfrm>
                    <a:prstGeom prst="rect">
                      <a:avLst/>
                    </a:prstGeom>
                  </pic:spPr>
                </pic:pic>
              </a:graphicData>
            </a:graphic>
          </wp:inline>
        </w:drawing>
      </w:r>
    </w:p>
    <w:p w:rsidR="007D13E7" w:rsidRPr="00E857D4" w:rsidRDefault="007D13E7" w:rsidP="007D13E7">
      <w:pPr>
        <w:autoSpaceDE w:val="0"/>
        <w:autoSpaceDN w:val="0"/>
        <w:spacing w:line="280" w:lineRule="atLeast"/>
        <w:jc w:val="center"/>
        <w:rPr>
          <w:rFonts w:ascii="돋움" w:eastAsia="돋움" w:hAnsi="돋움"/>
          <w:sz w:val="16"/>
          <w:szCs w:val="16"/>
        </w:rPr>
      </w:pPr>
      <w:r>
        <w:rPr>
          <w:rFonts w:ascii="돋움" w:eastAsia="돋움" w:hAnsi="돋움"/>
          <w:sz w:val="16"/>
          <w:szCs w:val="16"/>
        </w:rPr>
        <w:t xml:space="preserve">Fig. 1. Perspective, side, each layers view of the unit cell structure. Dielectric superstrates with 2.2 relative dielectric constant are employed. The blue arrows indicate lumped resistors. For the TCDA1 and 2, corresponding resistances are 250 </w:t>
      </w:r>
      <w:r>
        <w:rPr>
          <w:rFonts w:ascii="돋움" w:eastAsia="돋움" w:hAnsi="돋움" w:hint="eastAsia"/>
          <w:sz w:val="16"/>
          <w:szCs w:val="16"/>
        </w:rPr>
        <w:t>Ω</w:t>
      </w:r>
      <w:r>
        <w:rPr>
          <w:rFonts w:ascii="돋움" w:eastAsia="돋움" w:hAnsi="돋움"/>
          <w:sz w:val="16"/>
          <w:szCs w:val="16"/>
        </w:rPr>
        <w:t xml:space="preserve"> and 150 </w:t>
      </w:r>
      <w:r>
        <w:rPr>
          <w:rFonts w:ascii="돋움" w:eastAsia="돋움" w:hAnsi="돋움" w:hint="eastAsia"/>
          <w:sz w:val="16"/>
          <w:szCs w:val="16"/>
        </w:rPr>
        <w:t>Ω, respectively.</w:t>
      </w:r>
      <w:r>
        <w:rPr>
          <w:rFonts w:ascii="돋움" w:eastAsia="돋움" w:hAnsi="돋움"/>
          <w:sz w:val="16"/>
          <w:szCs w:val="16"/>
        </w:rPr>
        <w:t xml:space="preserve"> The cylinder aluminum at the bottom side is vertical metal strip (VMS) for insensitive to the oblique incidence plane waves [6].</w:t>
      </w:r>
    </w:p>
    <w:p w:rsidR="007D13E7" w:rsidRPr="007D13E7" w:rsidRDefault="007D13E7" w:rsidP="00ED7D18">
      <w:pPr>
        <w:autoSpaceDE w:val="0"/>
        <w:autoSpaceDN w:val="0"/>
        <w:spacing w:line="280" w:lineRule="atLeast"/>
        <w:ind w:firstLine="180"/>
        <w:rPr>
          <w:rFonts w:ascii="바탕" w:eastAsia="바탕" w:hAnsi="바탕"/>
          <w:sz w:val="18"/>
          <w:szCs w:val="18"/>
        </w:rPr>
      </w:pPr>
    </w:p>
    <w:p w:rsidR="007D13E7" w:rsidRDefault="00ED5091" w:rsidP="007D13E7">
      <w:pPr>
        <w:autoSpaceDE w:val="0"/>
        <w:autoSpaceDN w:val="0"/>
        <w:spacing w:line="280" w:lineRule="atLeast"/>
        <w:rPr>
          <w:rFonts w:ascii="바탕" w:eastAsia="바탕" w:hAnsi="바탕"/>
          <w:sz w:val="18"/>
          <w:szCs w:val="18"/>
        </w:rPr>
      </w:pPr>
      <w:r>
        <w:rPr>
          <w:rFonts w:ascii="바탕" w:eastAsia="바탕" w:hAnsi="바탕"/>
          <w:sz w:val="18"/>
          <w:szCs w:val="18"/>
        </w:rPr>
        <w:t>the absorber composed of TCDA1 (top position) and TCDA2 (bottom position) which are operating at the extremely low, and middle and high frequency band, respectively. At</w:t>
      </w:r>
      <w:r w:rsidR="003714F8">
        <w:rPr>
          <w:rFonts w:ascii="바탕" w:eastAsia="바탕" w:hAnsi="바탕"/>
          <w:sz w:val="18"/>
          <w:szCs w:val="18"/>
        </w:rPr>
        <w:t xml:space="preserve"> the band TCDA1 operates, </w:t>
      </w:r>
      <w:r w:rsidR="001840B1">
        <w:rPr>
          <w:rFonts w:ascii="바탕" w:eastAsia="바탕" w:hAnsi="바탕"/>
          <w:sz w:val="18"/>
          <w:szCs w:val="18"/>
        </w:rPr>
        <w:t>TCDA2 is almost open structure and not affects on the TCDA1.</w:t>
      </w:r>
      <w:r w:rsidR="00254E92">
        <w:rPr>
          <w:rFonts w:ascii="바탕" w:eastAsia="바탕" w:hAnsi="바탕"/>
          <w:sz w:val="18"/>
          <w:szCs w:val="18"/>
        </w:rPr>
        <w:t xml:space="preserve"> Thus, the entire structure becomes </w:t>
      </w:r>
      <w:r w:rsidR="00200421">
        <w:rPr>
          <w:rFonts w:ascii="바탕" w:eastAsia="바탕" w:hAnsi="바탕"/>
          <w:sz w:val="18"/>
          <w:szCs w:val="18"/>
        </w:rPr>
        <w:t xml:space="preserve">an </w:t>
      </w:r>
      <w:r w:rsidR="00254E92">
        <w:rPr>
          <w:rFonts w:ascii="바탕" w:eastAsia="바탕" w:hAnsi="바탕"/>
          <w:sz w:val="18"/>
          <w:szCs w:val="18"/>
        </w:rPr>
        <w:t>absorber by reciprocity.</w:t>
      </w:r>
      <w:r w:rsidR="008C78FF">
        <w:rPr>
          <w:rFonts w:ascii="바탕" w:eastAsia="바탕" w:hAnsi="바탕"/>
          <w:sz w:val="18"/>
          <w:szCs w:val="18"/>
        </w:rPr>
        <w:t xml:space="preserve"> At the band TCDA2 operates, TCDA2 becomes </w:t>
      </w:r>
      <w:r w:rsidR="00200421">
        <w:rPr>
          <w:rFonts w:ascii="바탕" w:eastAsia="바탕" w:hAnsi="바탕"/>
          <w:sz w:val="18"/>
          <w:szCs w:val="18"/>
        </w:rPr>
        <w:t xml:space="preserve">an </w:t>
      </w:r>
      <w:r w:rsidR="00DD210E">
        <w:rPr>
          <w:rFonts w:ascii="바탕" w:eastAsia="바탕" w:hAnsi="바탕"/>
          <w:sz w:val="18"/>
          <w:szCs w:val="18"/>
        </w:rPr>
        <w:t>absorber itself. Therefore, the entire structure becomes equivalent to that the TCDA1 is in the free space.</w:t>
      </w:r>
      <w:r w:rsidR="00A55C06">
        <w:rPr>
          <w:rFonts w:ascii="바탕" w:eastAsia="바탕" w:hAnsi="바탕"/>
          <w:sz w:val="18"/>
          <w:szCs w:val="18"/>
        </w:rPr>
        <w:t xml:space="preserve"> The </w:t>
      </w:r>
    </w:p>
    <w:p w:rsidR="007D13E7" w:rsidRDefault="007D13E7" w:rsidP="007D13E7">
      <w:pPr>
        <w:autoSpaceDE w:val="0"/>
        <w:autoSpaceDN w:val="0"/>
        <w:spacing w:line="280" w:lineRule="atLeast"/>
        <w:jc w:val="center"/>
        <w:rPr>
          <w:rFonts w:ascii="바탕" w:eastAsia="바탕" w:hAnsi="바탕"/>
          <w:sz w:val="18"/>
          <w:szCs w:val="18"/>
        </w:rPr>
      </w:pPr>
      <w:r w:rsidRPr="00622C19">
        <w:rPr>
          <w:rFonts w:ascii="바탕" w:eastAsia="바탕" w:hAnsi="바탕"/>
          <w:sz w:val="18"/>
          <w:szCs w:val="18"/>
        </w:rPr>
        <w:lastRenderedPageBreak/>
        <w:drawing>
          <wp:inline distT="0" distB="0" distL="0" distR="0" wp14:anchorId="76C88BF8" wp14:editId="06AE9093">
            <wp:extent cx="2152174" cy="1800000"/>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9"/>
                    <a:stretch>
                      <a:fillRect/>
                    </a:stretch>
                  </pic:blipFill>
                  <pic:spPr>
                    <a:xfrm>
                      <a:off x="0" y="0"/>
                      <a:ext cx="2152174" cy="1800000"/>
                    </a:xfrm>
                    <a:prstGeom prst="rect">
                      <a:avLst/>
                    </a:prstGeom>
                  </pic:spPr>
                </pic:pic>
              </a:graphicData>
            </a:graphic>
          </wp:inline>
        </w:drawing>
      </w:r>
    </w:p>
    <w:p w:rsidR="007D13E7" w:rsidRPr="00E857D4" w:rsidRDefault="007D13E7" w:rsidP="007D13E7">
      <w:pPr>
        <w:autoSpaceDE w:val="0"/>
        <w:autoSpaceDN w:val="0"/>
        <w:spacing w:line="280" w:lineRule="atLeast"/>
        <w:jc w:val="center"/>
        <w:rPr>
          <w:rFonts w:ascii="돋움" w:eastAsia="돋움" w:hAnsi="돋움"/>
          <w:sz w:val="16"/>
          <w:szCs w:val="16"/>
        </w:rPr>
      </w:pPr>
      <w:r>
        <w:rPr>
          <w:rFonts w:ascii="돋움" w:eastAsia="돋움" w:hAnsi="돋움"/>
          <w:sz w:val="16"/>
          <w:szCs w:val="16"/>
        </w:rPr>
        <w:t>Fig. 2. Polarization independency of the incidence wave.</w:t>
      </w:r>
    </w:p>
    <w:p w:rsidR="007D13E7" w:rsidRPr="007D13E7" w:rsidRDefault="007D13E7" w:rsidP="007D13E7">
      <w:pPr>
        <w:autoSpaceDE w:val="0"/>
        <w:autoSpaceDN w:val="0"/>
        <w:spacing w:line="280" w:lineRule="atLeast"/>
        <w:rPr>
          <w:rFonts w:ascii="바탕" w:eastAsia="바탕" w:hAnsi="바탕"/>
          <w:sz w:val="18"/>
          <w:szCs w:val="18"/>
        </w:rPr>
      </w:pPr>
    </w:p>
    <w:p w:rsidR="007D13E7" w:rsidRDefault="00A55C06" w:rsidP="007D13E7">
      <w:pPr>
        <w:autoSpaceDE w:val="0"/>
        <w:autoSpaceDN w:val="0"/>
        <w:spacing w:line="280" w:lineRule="atLeast"/>
        <w:rPr>
          <w:rFonts w:ascii="바탕" w:eastAsia="바탕" w:hAnsi="바탕"/>
          <w:sz w:val="18"/>
          <w:szCs w:val="18"/>
        </w:rPr>
      </w:pPr>
      <w:r>
        <w:rPr>
          <w:rFonts w:ascii="바탕" w:eastAsia="바탕" w:hAnsi="바탕"/>
          <w:sz w:val="18"/>
          <w:szCs w:val="18"/>
        </w:rPr>
        <w:t xml:space="preserve">dielectric superstrate of the TCDA1 makes the incidence plane wave </w:t>
      </w:r>
      <w:r w:rsidR="00FC0CC6">
        <w:rPr>
          <w:rFonts w:ascii="바탕" w:eastAsia="바탕" w:hAnsi="바탕"/>
          <w:sz w:val="18"/>
          <w:szCs w:val="18"/>
        </w:rPr>
        <w:t>not be reflected</w:t>
      </w:r>
      <w:r>
        <w:rPr>
          <w:rFonts w:ascii="바탕" w:eastAsia="바탕" w:hAnsi="바탕"/>
          <w:sz w:val="18"/>
          <w:szCs w:val="18"/>
        </w:rPr>
        <w:t xml:space="preserve"> at </w:t>
      </w:r>
      <w:r>
        <w:rPr>
          <w:rFonts w:ascii="바탕" w:eastAsia="바탕" w:hAnsi="바탕" w:hint="eastAsia"/>
          <w:sz w:val="18"/>
          <w:szCs w:val="18"/>
        </w:rPr>
        <w:t>the top side</w:t>
      </w:r>
      <w:r w:rsidR="00A95FF7">
        <w:rPr>
          <w:rFonts w:ascii="바탕" w:eastAsia="바탕" w:hAnsi="바탕"/>
          <w:sz w:val="18"/>
          <w:szCs w:val="18"/>
        </w:rPr>
        <w:t xml:space="preserve"> in that situation</w:t>
      </w:r>
      <w:r>
        <w:rPr>
          <w:rFonts w:ascii="바탕" w:eastAsia="바탕" w:hAnsi="바탕" w:hint="eastAsia"/>
          <w:sz w:val="18"/>
          <w:szCs w:val="18"/>
        </w:rPr>
        <w:t>.</w:t>
      </w:r>
      <w:r w:rsidR="001176BF">
        <w:rPr>
          <w:rFonts w:ascii="바탕" w:eastAsia="바탕" w:hAnsi="바탕"/>
          <w:sz w:val="18"/>
          <w:szCs w:val="18"/>
        </w:rPr>
        <w:t xml:space="preserve"> Thus, in this way, </w:t>
      </w:r>
      <w:r w:rsidR="001176BF">
        <w:rPr>
          <w:rFonts w:ascii="바탕" w:eastAsia="바탕" w:hAnsi="바탕"/>
          <w:sz w:val="18"/>
          <w:szCs w:val="18"/>
        </w:rPr>
        <w:t>the entire structure becomes an absorber</w:t>
      </w:r>
      <w:r w:rsidR="001176BF">
        <w:rPr>
          <w:rFonts w:ascii="바탕" w:eastAsia="바탕" w:hAnsi="바탕"/>
          <w:sz w:val="18"/>
          <w:szCs w:val="18"/>
        </w:rPr>
        <w:t xml:space="preserve"> and the entire structure produces a</w:t>
      </w:r>
      <w:r w:rsidR="001176BF" w:rsidRPr="001176BF">
        <w:rPr>
          <w:rFonts w:ascii="바탕" w:eastAsia="바탕" w:hAnsi="바탕"/>
          <w:sz w:val="18"/>
          <w:szCs w:val="18"/>
        </w:rPr>
        <w:t xml:space="preserve"> –10 dB reflection bandwidth of </w:t>
      </w:r>
      <w:r w:rsidR="001176BF">
        <w:rPr>
          <w:rFonts w:ascii="바탕" w:eastAsia="바탕" w:hAnsi="바탕"/>
          <w:sz w:val="18"/>
          <w:szCs w:val="18"/>
        </w:rPr>
        <w:t>0.61 – 6.50 (10.6:1)</w:t>
      </w:r>
      <w:r w:rsidR="001176BF" w:rsidRPr="001176BF">
        <w:rPr>
          <w:rFonts w:ascii="바탕" w:eastAsia="바탕" w:hAnsi="바탕"/>
          <w:sz w:val="18"/>
          <w:szCs w:val="18"/>
        </w:rPr>
        <w:t xml:space="preserve"> with a 0.1 λ</w:t>
      </w:r>
      <w:r w:rsidR="001176BF" w:rsidRPr="001176BF">
        <w:rPr>
          <w:rFonts w:ascii="바탕" w:eastAsia="바탕" w:hAnsi="바탕"/>
          <w:sz w:val="18"/>
          <w:szCs w:val="18"/>
          <w:vertAlign w:val="subscript"/>
        </w:rPr>
        <w:t>low</w:t>
      </w:r>
      <w:r w:rsidR="001176BF" w:rsidRPr="001176BF">
        <w:rPr>
          <w:rFonts w:ascii="바탕" w:eastAsia="바탕" w:hAnsi="바탕"/>
          <w:sz w:val="18"/>
          <w:szCs w:val="18"/>
        </w:rPr>
        <w:t xml:space="preserve"> at the lowest operating frequency under normal incidence</w:t>
      </w:r>
      <w:r w:rsidR="001176BF">
        <w:rPr>
          <w:rFonts w:ascii="바탕" w:eastAsia="바탕" w:hAnsi="바탕"/>
          <w:sz w:val="18"/>
          <w:szCs w:val="18"/>
        </w:rPr>
        <w:t>.</w:t>
      </w:r>
      <w:r w:rsidR="001B0C6D">
        <w:rPr>
          <w:rFonts w:ascii="바탕" w:eastAsia="바탕" w:hAnsi="바탕"/>
          <w:sz w:val="18"/>
          <w:szCs w:val="18"/>
        </w:rPr>
        <w:t xml:space="preserve"> Fig. 2 shows the operating bandwidth and polarization independency.</w:t>
      </w:r>
      <w:r w:rsidR="004C69FF">
        <w:rPr>
          <w:rFonts w:ascii="바탕" w:eastAsia="바탕" w:hAnsi="바탕"/>
          <w:sz w:val="18"/>
          <w:szCs w:val="18"/>
        </w:rPr>
        <w:t xml:space="preserve"> </w:t>
      </w:r>
    </w:p>
    <w:p w:rsidR="007D13E7" w:rsidRDefault="007D13E7" w:rsidP="007D13E7">
      <w:pPr>
        <w:autoSpaceDE w:val="0"/>
        <w:autoSpaceDN w:val="0"/>
        <w:spacing w:line="280" w:lineRule="atLeast"/>
        <w:rPr>
          <w:rFonts w:ascii="바탕" w:eastAsia="바탕" w:hAnsi="바탕"/>
          <w:sz w:val="18"/>
          <w:szCs w:val="18"/>
        </w:rPr>
      </w:pPr>
    </w:p>
    <w:p w:rsidR="007D13E7" w:rsidRDefault="007D13E7" w:rsidP="007D13E7">
      <w:pPr>
        <w:autoSpaceDE w:val="0"/>
        <w:autoSpaceDN w:val="0"/>
        <w:spacing w:line="280" w:lineRule="atLeast"/>
        <w:jc w:val="center"/>
        <w:rPr>
          <w:rFonts w:ascii="바탕" w:eastAsia="바탕" w:hAnsi="바탕"/>
          <w:sz w:val="18"/>
          <w:szCs w:val="18"/>
        </w:rPr>
      </w:pPr>
      <w:r w:rsidRPr="00622C19">
        <w:rPr>
          <w:rFonts w:ascii="바탕" w:eastAsia="바탕" w:hAnsi="바탕"/>
          <w:sz w:val="18"/>
          <w:szCs w:val="18"/>
        </w:rPr>
        <w:drawing>
          <wp:inline distT="0" distB="0" distL="0" distR="0" wp14:anchorId="6091E09A" wp14:editId="57625C2B">
            <wp:extent cx="2152174" cy="1800000"/>
            <wp:effectExtent l="0" t="0" r="0" b="0"/>
            <wp:docPr id="5"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10"/>
                    <a:stretch>
                      <a:fillRect/>
                    </a:stretch>
                  </pic:blipFill>
                  <pic:spPr>
                    <a:xfrm>
                      <a:off x="0" y="0"/>
                      <a:ext cx="2152174" cy="1800000"/>
                    </a:xfrm>
                    <a:prstGeom prst="rect">
                      <a:avLst/>
                    </a:prstGeom>
                  </pic:spPr>
                </pic:pic>
              </a:graphicData>
            </a:graphic>
          </wp:inline>
        </w:drawing>
      </w:r>
    </w:p>
    <w:p w:rsidR="007D13E7" w:rsidRPr="00E857D4" w:rsidRDefault="007D13E7" w:rsidP="007D13E7">
      <w:pPr>
        <w:autoSpaceDE w:val="0"/>
        <w:autoSpaceDN w:val="0"/>
        <w:spacing w:line="280" w:lineRule="atLeast"/>
        <w:jc w:val="center"/>
        <w:rPr>
          <w:rFonts w:ascii="돋움" w:eastAsia="돋움" w:hAnsi="돋움"/>
          <w:sz w:val="16"/>
          <w:szCs w:val="16"/>
        </w:rPr>
      </w:pPr>
      <w:r>
        <w:rPr>
          <w:rFonts w:ascii="돋움" w:eastAsia="돋움" w:hAnsi="돋움"/>
          <w:sz w:val="16"/>
          <w:szCs w:val="16"/>
        </w:rPr>
        <w:t>Fig. 3. Responses to TM plane wave with various incidence angles.</w:t>
      </w:r>
    </w:p>
    <w:p w:rsidR="007D13E7" w:rsidRPr="00622C19" w:rsidRDefault="007D13E7" w:rsidP="007D13E7">
      <w:pPr>
        <w:autoSpaceDE w:val="0"/>
        <w:autoSpaceDN w:val="0"/>
        <w:spacing w:line="280" w:lineRule="atLeast"/>
        <w:rPr>
          <w:rFonts w:ascii="바탕" w:eastAsia="바탕" w:hAnsi="바탕"/>
          <w:sz w:val="18"/>
          <w:szCs w:val="18"/>
        </w:rPr>
      </w:pPr>
    </w:p>
    <w:p w:rsidR="007D13E7" w:rsidRDefault="007D13E7" w:rsidP="007D13E7">
      <w:pPr>
        <w:autoSpaceDE w:val="0"/>
        <w:autoSpaceDN w:val="0"/>
        <w:spacing w:line="280" w:lineRule="atLeast"/>
        <w:jc w:val="center"/>
        <w:rPr>
          <w:rFonts w:ascii="바탕" w:eastAsia="바탕" w:hAnsi="바탕"/>
          <w:sz w:val="18"/>
          <w:szCs w:val="18"/>
        </w:rPr>
      </w:pPr>
      <w:r w:rsidRPr="00622C19">
        <w:rPr>
          <w:rFonts w:ascii="바탕" w:eastAsia="바탕" w:hAnsi="바탕"/>
          <w:sz w:val="18"/>
          <w:szCs w:val="18"/>
        </w:rPr>
        <w:drawing>
          <wp:inline distT="0" distB="0" distL="0" distR="0" wp14:anchorId="7376D0DC" wp14:editId="30376FB3">
            <wp:extent cx="2152174" cy="1800000"/>
            <wp:effectExtent l="0" t="0" r="0" b="0"/>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pic:cNvPicPr>
                      <a:picLocks noChangeAspect="1"/>
                    </pic:cNvPicPr>
                  </pic:nvPicPr>
                  <pic:blipFill>
                    <a:blip r:embed="rId11"/>
                    <a:stretch>
                      <a:fillRect/>
                    </a:stretch>
                  </pic:blipFill>
                  <pic:spPr>
                    <a:xfrm>
                      <a:off x="0" y="0"/>
                      <a:ext cx="2152174" cy="1800000"/>
                    </a:xfrm>
                    <a:prstGeom prst="rect">
                      <a:avLst/>
                    </a:prstGeom>
                  </pic:spPr>
                </pic:pic>
              </a:graphicData>
            </a:graphic>
          </wp:inline>
        </w:drawing>
      </w:r>
    </w:p>
    <w:p w:rsidR="007D13E7" w:rsidRPr="00E857D4" w:rsidRDefault="007D13E7" w:rsidP="007D13E7">
      <w:pPr>
        <w:autoSpaceDE w:val="0"/>
        <w:autoSpaceDN w:val="0"/>
        <w:spacing w:line="280" w:lineRule="atLeast"/>
        <w:jc w:val="center"/>
        <w:rPr>
          <w:rFonts w:ascii="돋움" w:eastAsia="돋움" w:hAnsi="돋움"/>
          <w:sz w:val="16"/>
          <w:szCs w:val="16"/>
        </w:rPr>
      </w:pPr>
      <w:r>
        <w:rPr>
          <w:rFonts w:ascii="돋움" w:eastAsia="돋움" w:hAnsi="돋움"/>
          <w:sz w:val="16"/>
          <w:szCs w:val="16"/>
        </w:rPr>
        <w:t>Fig. 4. Responses to TE plane wave with various incidence angles.</w:t>
      </w:r>
    </w:p>
    <w:p w:rsidR="007D13E7" w:rsidRPr="007D13E7" w:rsidRDefault="007D13E7" w:rsidP="007D13E7">
      <w:pPr>
        <w:autoSpaceDE w:val="0"/>
        <w:autoSpaceDN w:val="0"/>
        <w:spacing w:line="280" w:lineRule="atLeast"/>
        <w:rPr>
          <w:rFonts w:ascii="바탕" w:eastAsia="바탕" w:hAnsi="바탕"/>
          <w:sz w:val="18"/>
          <w:szCs w:val="18"/>
        </w:rPr>
      </w:pPr>
    </w:p>
    <w:p w:rsidR="002F1994" w:rsidRDefault="004C69FF" w:rsidP="007D13E7">
      <w:pPr>
        <w:autoSpaceDE w:val="0"/>
        <w:autoSpaceDN w:val="0"/>
        <w:spacing w:line="280" w:lineRule="atLeast"/>
        <w:rPr>
          <w:rFonts w:ascii="바탕" w:eastAsia="바탕" w:hAnsi="바탕"/>
          <w:sz w:val="18"/>
          <w:szCs w:val="18"/>
        </w:rPr>
      </w:pPr>
      <w:r>
        <w:rPr>
          <w:rFonts w:ascii="바탕" w:eastAsia="바탕" w:hAnsi="바탕"/>
          <w:sz w:val="18"/>
          <w:szCs w:val="18"/>
        </w:rPr>
        <w:t>Fig. 3 and 4 show the response</w:t>
      </w:r>
      <w:r w:rsidRPr="004C69FF">
        <w:rPr>
          <w:rFonts w:ascii="바탕" w:eastAsia="바탕" w:hAnsi="바탕"/>
          <w:sz w:val="18"/>
          <w:szCs w:val="18"/>
        </w:rPr>
        <w:t xml:space="preserve"> to </w:t>
      </w:r>
      <w:r w:rsidR="000C2A3C">
        <w:rPr>
          <w:rFonts w:ascii="바탕" w:eastAsia="바탕" w:hAnsi="바탕"/>
          <w:sz w:val="18"/>
          <w:szCs w:val="18"/>
        </w:rPr>
        <w:t>TM</w:t>
      </w:r>
      <w:r>
        <w:rPr>
          <w:rFonts w:ascii="바탕" w:eastAsia="바탕" w:hAnsi="바탕"/>
          <w:sz w:val="18"/>
          <w:szCs w:val="18"/>
        </w:rPr>
        <w:t xml:space="preserve"> and </w:t>
      </w:r>
      <w:r w:rsidRPr="004C69FF">
        <w:rPr>
          <w:rFonts w:ascii="바탕" w:eastAsia="바탕" w:hAnsi="바탕"/>
          <w:sz w:val="18"/>
          <w:szCs w:val="18"/>
        </w:rPr>
        <w:t xml:space="preserve">TE plane </w:t>
      </w:r>
      <w:r w:rsidRPr="004C69FF">
        <w:rPr>
          <w:rFonts w:ascii="바탕" w:eastAsia="바탕" w:hAnsi="바탕"/>
          <w:sz w:val="18"/>
          <w:szCs w:val="18"/>
        </w:rPr>
        <w:lastRenderedPageBreak/>
        <w:t>wave with various incidence angles</w:t>
      </w:r>
      <w:r>
        <w:rPr>
          <w:rFonts w:ascii="바탕" w:eastAsia="바탕" w:hAnsi="바탕"/>
          <w:sz w:val="18"/>
          <w:szCs w:val="18"/>
        </w:rPr>
        <w:t>, respectively</w:t>
      </w:r>
      <w:r w:rsidRPr="004C69FF">
        <w:rPr>
          <w:rFonts w:ascii="바탕" w:eastAsia="바탕" w:hAnsi="바탕"/>
          <w:sz w:val="18"/>
          <w:szCs w:val="18"/>
        </w:rPr>
        <w:t>.</w:t>
      </w:r>
      <w:r w:rsidR="000C2A3C">
        <w:rPr>
          <w:rFonts w:ascii="바탕" w:eastAsia="바탕" w:hAnsi="바탕"/>
          <w:sz w:val="18"/>
          <w:szCs w:val="18"/>
        </w:rPr>
        <w:t xml:space="preserve"> For the TM and TE cases, the responses are acceptable under 70</w:t>
      </w:r>
      <w:r w:rsidR="000C2A3C">
        <w:rPr>
          <w:rFonts w:ascii="바탕" w:eastAsia="바탕" w:hAnsi="바탕" w:hint="eastAsia"/>
          <w:sz w:val="18"/>
          <w:szCs w:val="18"/>
        </w:rPr>
        <w:t>° and</w:t>
      </w:r>
      <w:r w:rsidR="000C2A3C">
        <w:rPr>
          <w:rFonts w:ascii="바탕" w:eastAsia="바탕" w:hAnsi="바탕"/>
          <w:sz w:val="18"/>
          <w:szCs w:val="18"/>
        </w:rPr>
        <w:t xml:space="preserve"> 40</w:t>
      </w:r>
      <w:r w:rsidR="000C2A3C">
        <w:rPr>
          <w:rFonts w:ascii="바탕" w:eastAsia="바탕" w:hAnsi="바탕" w:hint="eastAsia"/>
          <w:sz w:val="18"/>
          <w:szCs w:val="18"/>
        </w:rPr>
        <w:t>°, respectively.</w:t>
      </w:r>
    </w:p>
    <w:p w:rsidR="00622C19" w:rsidRDefault="00622C19" w:rsidP="00ED7D18">
      <w:pPr>
        <w:autoSpaceDE w:val="0"/>
        <w:autoSpaceDN w:val="0"/>
        <w:spacing w:line="280" w:lineRule="atLeast"/>
        <w:rPr>
          <w:rFonts w:ascii="바탕" w:eastAsia="바탕" w:hAnsi="바탕" w:hint="eastAsia"/>
          <w:sz w:val="18"/>
          <w:szCs w:val="18"/>
        </w:rPr>
      </w:pPr>
    </w:p>
    <w:p w:rsidR="005A78D9" w:rsidRPr="00BF7C4B" w:rsidRDefault="004D7D52" w:rsidP="007B176C">
      <w:pPr>
        <w:autoSpaceDE w:val="0"/>
        <w:autoSpaceDN w:val="0"/>
        <w:spacing w:line="280" w:lineRule="atLeast"/>
        <w:rPr>
          <w:rFonts w:ascii="돋움" w:eastAsia="돋움" w:hAnsi="돋움"/>
          <w:b/>
          <w:bCs/>
          <w:sz w:val="18"/>
          <w:szCs w:val="18"/>
        </w:rPr>
      </w:pPr>
      <w:r w:rsidRPr="00BF7C4B">
        <w:rPr>
          <w:rFonts w:ascii="돋움" w:eastAsia="돋움" w:hAnsi="돋움" w:hint="eastAsia"/>
          <w:b/>
          <w:bCs/>
          <w:sz w:val="18"/>
          <w:szCs w:val="18"/>
        </w:rPr>
        <w:t>3</w:t>
      </w:r>
      <w:r w:rsidR="005A78D9" w:rsidRPr="00BF7C4B">
        <w:rPr>
          <w:rFonts w:ascii="돋움" w:eastAsia="돋움" w:hAnsi="돋움"/>
          <w:b/>
          <w:bCs/>
          <w:sz w:val="18"/>
          <w:szCs w:val="18"/>
        </w:rPr>
        <w:t xml:space="preserve">. </w:t>
      </w:r>
      <w:r w:rsidR="007D4486">
        <w:rPr>
          <w:rFonts w:ascii="돋움" w:eastAsia="돋움" w:hAnsi="돋움" w:hint="eastAsia"/>
          <w:b/>
          <w:bCs/>
          <w:sz w:val="18"/>
          <w:szCs w:val="18"/>
        </w:rPr>
        <w:t>Conclusion</w:t>
      </w:r>
    </w:p>
    <w:p w:rsidR="005A78D9" w:rsidRDefault="009E24D9" w:rsidP="009E24D9">
      <w:pPr>
        <w:autoSpaceDE w:val="0"/>
        <w:autoSpaceDN w:val="0"/>
        <w:spacing w:line="280" w:lineRule="atLeast"/>
        <w:ind w:firstLineChars="100" w:firstLine="180"/>
        <w:rPr>
          <w:rFonts w:ascii="바탕" w:eastAsia="바탕" w:hAnsi="바탕"/>
          <w:sz w:val="18"/>
          <w:szCs w:val="18"/>
        </w:rPr>
      </w:pPr>
      <w:r>
        <w:rPr>
          <w:rFonts w:ascii="바탕" w:eastAsia="바탕" w:hAnsi="바탕"/>
          <w:sz w:val="18"/>
          <w:szCs w:val="18"/>
        </w:rPr>
        <w:t>W</w:t>
      </w:r>
      <w:r>
        <w:rPr>
          <w:rFonts w:ascii="바탕" w:eastAsia="바탕" w:hAnsi="바탕"/>
          <w:sz w:val="18"/>
          <w:szCs w:val="18"/>
        </w:rPr>
        <w:t xml:space="preserve">e </w:t>
      </w:r>
      <w:r>
        <w:rPr>
          <w:rFonts w:ascii="바탕" w:eastAsia="바탕" w:hAnsi="바탕"/>
          <w:sz w:val="18"/>
          <w:szCs w:val="18"/>
        </w:rPr>
        <w:t>proposed</w:t>
      </w:r>
      <w:r>
        <w:rPr>
          <w:rFonts w:ascii="바탕" w:eastAsia="바탕" w:hAnsi="바탕"/>
          <w:sz w:val="18"/>
          <w:szCs w:val="18"/>
        </w:rPr>
        <w:t xml:space="preserve"> the absorber </w:t>
      </w:r>
      <w:r>
        <w:rPr>
          <w:rFonts w:ascii="바탕" w:eastAsia="바탕" w:hAnsi="바탕"/>
          <w:sz w:val="18"/>
          <w:szCs w:val="18"/>
        </w:rPr>
        <w:t xml:space="preserve">composed of TCDA-under-TCDA. Compared with conventional TCDAs, the operating bandwidth as an absorber is incredibly increased to </w:t>
      </w:r>
      <w:r w:rsidRPr="009E24D9">
        <w:rPr>
          <w:rFonts w:ascii="바탕" w:eastAsia="바탕" w:hAnsi="바탕"/>
          <w:sz w:val="18"/>
          <w:szCs w:val="18"/>
        </w:rPr>
        <w:t>10.6:1</w:t>
      </w:r>
      <w:r>
        <w:rPr>
          <w:rFonts w:ascii="바탕" w:eastAsia="바탕" w:hAnsi="바탕"/>
          <w:sz w:val="18"/>
          <w:szCs w:val="18"/>
        </w:rPr>
        <w:t xml:space="preserve">. </w:t>
      </w:r>
      <w:r w:rsidRPr="009E24D9">
        <w:rPr>
          <w:rFonts w:ascii="바탕" w:eastAsia="바탕" w:hAnsi="바탕"/>
          <w:sz w:val="18"/>
          <w:szCs w:val="18"/>
        </w:rPr>
        <w:t>It is worth noting that owing to our work, the antenna-based absorbers can be designed using both lossless and lossy antennas; this technique provides added flexibility in the design of antenna-based absorbers.</w:t>
      </w:r>
      <w:bookmarkStart w:id="0" w:name="_GoBack"/>
      <w:bookmarkEnd w:id="0"/>
    </w:p>
    <w:p w:rsidR="001954D3" w:rsidRPr="009E24D9" w:rsidRDefault="001954D3" w:rsidP="007B176C">
      <w:pPr>
        <w:autoSpaceDE w:val="0"/>
        <w:autoSpaceDN w:val="0"/>
        <w:spacing w:line="280" w:lineRule="atLeast"/>
        <w:rPr>
          <w:rFonts w:ascii="바탕" w:eastAsia="바탕" w:hAnsi="바탕"/>
          <w:sz w:val="18"/>
        </w:rPr>
      </w:pPr>
    </w:p>
    <w:p w:rsidR="001954D3" w:rsidRPr="001954D3" w:rsidRDefault="001954D3" w:rsidP="001954D3">
      <w:pPr>
        <w:autoSpaceDE w:val="0"/>
        <w:autoSpaceDN w:val="0"/>
        <w:spacing w:line="280" w:lineRule="atLeast"/>
        <w:jc w:val="center"/>
        <w:rPr>
          <w:rFonts w:ascii="돋움" w:eastAsia="돋움" w:hAnsi="돋움"/>
          <w:b/>
          <w:sz w:val="18"/>
          <w:szCs w:val="18"/>
        </w:rPr>
      </w:pPr>
      <w:r w:rsidRPr="001954D3">
        <w:rPr>
          <w:rFonts w:ascii="돋움" w:eastAsia="돋움" w:hAnsi="돋움"/>
          <w:b/>
          <w:sz w:val="18"/>
          <w:szCs w:val="18"/>
        </w:rPr>
        <w:t>References</w:t>
      </w:r>
    </w:p>
    <w:p w:rsidR="00B32141" w:rsidRDefault="001954D3" w:rsidP="00B32141">
      <w:pPr>
        <w:autoSpaceDE w:val="0"/>
        <w:autoSpaceDN w:val="0"/>
        <w:spacing w:line="280" w:lineRule="atLeast"/>
        <w:ind w:left="378" w:hangingChars="210" w:hanging="378"/>
        <w:rPr>
          <w:rFonts w:ascii="바탕" w:eastAsia="바탕" w:hAnsi="바탕"/>
          <w:sz w:val="18"/>
          <w:szCs w:val="18"/>
        </w:rPr>
      </w:pPr>
      <w:r w:rsidRPr="001954D3">
        <w:rPr>
          <w:rFonts w:ascii="바탕" w:eastAsia="바탕" w:hAnsi="바탕" w:hint="eastAsia"/>
          <w:sz w:val="18"/>
          <w:szCs w:val="18"/>
        </w:rPr>
        <w:t>[1]</w:t>
      </w:r>
      <w:r w:rsidR="000800F2">
        <w:rPr>
          <w:rFonts w:ascii="바탕" w:eastAsia="바탕" w:hAnsi="바탕"/>
          <w:sz w:val="18"/>
          <w:szCs w:val="18"/>
        </w:rPr>
        <w:t xml:space="preserve"> </w:t>
      </w:r>
      <w:r w:rsidR="00B32141" w:rsidRPr="00B32141">
        <w:rPr>
          <w:rFonts w:ascii="바탕" w:eastAsia="바탕" w:hAnsi="바탕"/>
          <w:sz w:val="18"/>
          <w:szCs w:val="18"/>
        </w:rPr>
        <w:t>Bekkerman, Ilya, and Joseph Tabrikian. “Target detection and localization using MIMO radars and sonars.” IEEE Transactions on Signal Processing 54.10 (2006): 3873-3883.</w:t>
      </w:r>
    </w:p>
    <w:p w:rsidR="00B32141" w:rsidRDefault="00B32141" w:rsidP="00B32141">
      <w:pPr>
        <w:autoSpaceDE w:val="0"/>
        <w:autoSpaceDN w:val="0"/>
        <w:spacing w:line="280" w:lineRule="atLeast"/>
        <w:ind w:left="378" w:hangingChars="210" w:hanging="378"/>
        <w:rPr>
          <w:rFonts w:ascii="바탕" w:eastAsia="바탕" w:hAnsi="바탕"/>
          <w:sz w:val="18"/>
          <w:szCs w:val="18"/>
        </w:rPr>
      </w:pPr>
      <w:r w:rsidRPr="00B32141">
        <w:rPr>
          <w:rFonts w:ascii="바탕" w:eastAsia="바탕" w:hAnsi="바탕"/>
          <w:sz w:val="18"/>
          <w:szCs w:val="18"/>
        </w:rPr>
        <w:t>[</w:t>
      </w:r>
      <w:r>
        <w:rPr>
          <w:rFonts w:ascii="바탕" w:eastAsia="바탕" w:hAnsi="바탕"/>
          <w:sz w:val="18"/>
          <w:szCs w:val="18"/>
        </w:rPr>
        <w:t>2</w:t>
      </w:r>
      <w:r w:rsidRPr="00B32141">
        <w:rPr>
          <w:rFonts w:ascii="바탕" w:eastAsia="바탕" w:hAnsi="바탕"/>
          <w:sz w:val="18"/>
          <w:szCs w:val="18"/>
        </w:rPr>
        <w:t>]</w:t>
      </w:r>
      <w:r w:rsidRPr="00B32141">
        <w:rPr>
          <w:rFonts w:ascii="바탕" w:eastAsia="바탕" w:hAnsi="바탕"/>
          <w:sz w:val="18"/>
          <w:szCs w:val="18"/>
        </w:rPr>
        <w:tab/>
        <w:t>Chen, Jianlin, Yuping Shang, and Cheng Liao. “Double-layer circuit analog absorbers based on resistor-loaded square-loop arrays.” IEEE Antennas and Wireless Propagation Letters 17.4 (2018): 591-595.</w:t>
      </w:r>
    </w:p>
    <w:p w:rsidR="00C879E7" w:rsidRDefault="00C879E7" w:rsidP="00B32141">
      <w:pPr>
        <w:autoSpaceDE w:val="0"/>
        <w:autoSpaceDN w:val="0"/>
        <w:spacing w:line="280" w:lineRule="atLeast"/>
        <w:ind w:left="378" w:hangingChars="210" w:hanging="378"/>
        <w:rPr>
          <w:rFonts w:ascii="바탕" w:eastAsia="바탕" w:hAnsi="바탕"/>
          <w:sz w:val="18"/>
          <w:szCs w:val="18"/>
        </w:rPr>
      </w:pPr>
      <w:r>
        <w:rPr>
          <w:rFonts w:ascii="바탕" w:eastAsia="바탕" w:hAnsi="바탕"/>
          <w:sz w:val="18"/>
          <w:szCs w:val="18"/>
        </w:rPr>
        <w:t>[3</w:t>
      </w:r>
      <w:r w:rsidRPr="00C879E7">
        <w:rPr>
          <w:rFonts w:ascii="바탕" w:eastAsia="바탕" w:hAnsi="바탕"/>
          <w:sz w:val="18"/>
          <w:szCs w:val="18"/>
        </w:rPr>
        <w:t>]</w:t>
      </w:r>
      <w:r w:rsidRPr="00C879E7">
        <w:rPr>
          <w:rFonts w:ascii="바탕" w:eastAsia="바탕" w:hAnsi="바탕"/>
          <w:sz w:val="18"/>
          <w:szCs w:val="18"/>
        </w:rPr>
        <w:tab/>
        <w:t>Wu, Changying, S. Lu, Z. Yang, and Y. Yashchyshyn. “A UWB absorber based on the TCA concept in the UHF band.” IEEE Transactions on Antennas and Propagation 68.5 (2019): 4132-4136.</w:t>
      </w:r>
    </w:p>
    <w:p w:rsidR="00C879E7" w:rsidRDefault="00C879E7" w:rsidP="00B32141">
      <w:pPr>
        <w:autoSpaceDE w:val="0"/>
        <w:autoSpaceDN w:val="0"/>
        <w:spacing w:line="280" w:lineRule="atLeast"/>
        <w:ind w:left="378" w:hangingChars="210" w:hanging="378"/>
        <w:rPr>
          <w:rFonts w:ascii="바탕" w:eastAsia="바탕" w:hAnsi="바탕"/>
          <w:sz w:val="18"/>
          <w:szCs w:val="18"/>
        </w:rPr>
      </w:pPr>
      <w:r w:rsidRPr="00C879E7">
        <w:rPr>
          <w:rFonts w:ascii="바탕" w:eastAsia="바탕" w:hAnsi="바탕"/>
          <w:sz w:val="18"/>
          <w:szCs w:val="18"/>
        </w:rPr>
        <w:t>[</w:t>
      </w:r>
      <w:r>
        <w:rPr>
          <w:rFonts w:ascii="바탕" w:eastAsia="바탕" w:hAnsi="바탕"/>
          <w:sz w:val="18"/>
          <w:szCs w:val="18"/>
        </w:rPr>
        <w:t>4</w:t>
      </w:r>
      <w:r w:rsidRPr="00C879E7">
        <w:rPr>
          <w:rFonts w:ascii="바탕" w:eastAsia="바탕" w:hAnsi="바탕"/>
          <w:sz w:val="18"/>
          <w:szCs w:val="18"/>
        </w:rPr>
        <w:t>]</w:t>
      </w:r>
      <w:r w:rsidRPr="00C879E7">
        <w:rPr>
          <w:rFonts w:ascii="바탕" w:eastAsia="바탕" w:hAnsi="바탕"/>
          <w:sz w:val="18"/>
          <w:szCs w:val="18"/>
        </w:rPr>
        <w:tab/>
        <w:t>Moulder, William F., Kubilay Sertel, and John L. Volakis. “Superstrate-enhanced ultrawideband tightly coupled array with resistive FSS.” IEEE Transactions on Antennas and Propagation 60.9 (2012): 4166-4172.</w:t>
      </w:r>
    </w:p>
    <w:p w:rsidR="00735436" w:rsidRDefault="00735436" w:rsidP="00B32141">
      <w:pPr>
        <w:autoSpaceDE w:val="0"/>
        <w:autoSpaceDN w:val="0"/>
        <w:spacing w:line="280" w:lineRule="atLeast"/>
        <w:ind w:left="378" w:hangingChars="210" w:hanging="378"/>
        <w:rPr>
          <w:rFonts w:ascii="바탕" w:eastAsia="바탕" w:hAnsi="바탕"/>
          <w:sz w:val="18"/>
          <w:szCs w:val="18"/>
        </w:rPr>
      </w:pPr>
      <w:r>
        <w:rPr>
          <w:rFonts w:ascii="바탕" w:eastAsia="바탕" w:hAnsi="바탕"/>
          <w:sz w:val="18"/>
          <w:szCs w:val="18"/>
        </w:rPr>
        <w:t xml:space="preserve">[5] </w:t>
      </w:r>
      <w:r w:rsidRPr="00735436">
        <w:rPr>
          <w:rFonts w:ascii="바탕" w:eastAsia="바탕" w:hAnsi="바탕"/>
          <w:sz w:val="18"/>
          <w:szCs w:val="18"/>
        </w:rPr>
        <w:t>Munk, B. A. Finite antenna arrays and FSS. John Wiley &amp; Sons, 2003.</w:t>
      </w:r>
    </w:p>
    <w:p w:rsidR="000C5A69" w:rsidRPr="00B84E42" w:rsidRDefault="000C5A69" w:rsidP="00B32141">
      <w:pPr>
        <w:autoSpaceDE w:val="0"/>
        <w:autoSpaceDN w:val="0"/>
        <w:spacing w:line="280" w:lineRule="atLeast"/>
        <w:ind w:left="378" w:hangingChars="210" w:hanging="378"/>
        <w:rPr>
          <w:rFonts w:ascii="바탕" w:eastAsia="바탕" w:hAnsi="바탕" w:hint="eastAsia"/>
          <w:sz w:val="18"/>
          <w:szCs w:val="18"/>
        </w:rPr>
      </w:pPr>
      <w:r>
        <w:rPr>
          <w:rFonts w:ascii="바탕" w:eastAsia="바탕" w:hAnsi="바탕"/>
          <w:sz w:val="18"/>
          <w:szCs w:val="18"/>
        </w:rPr>
        <w:t>[</w:t>
      </w:r>
      <w:r w:rsidRPr="000C5A69">
        <w:rPr>
          <w:rFonts w:ascii="바탕" w:eastAsia="바탕" w:hAnsi="바탕"/>
          <w:sz w:val="18"/>
          <w:szCs w:val="18"/>
        </w:rPr>
        <w:t>6]</w:t>
      </w:r>
      <w:r w:rsidRPr="000C5A69">
        <w:rPr>
          <w:rFonts w:ascii="바탕" w:eastAsia="바탕" w:hAnsi="바탕"/>
          <w:sz w:val="18"/>
          <w:szCs w:val="18"/>
        </w:rPr>
        <w:tab/>
        <w:t>Kim, Seongjung, and Sangwook Nam. “Bandwidth extension of dual-polarized 1-D TCDA antenna using VMS.” IEEE Transactions on Antennas and Propagation 67.8 (2019): 5305-5312.</w:t>
      </w:r>
    </w:p>
    <w:sectPr w:rsidR="000C5A69" w:rsidRPr="00B84E42" w:rsidSect="00DE0A52">
      <w:headerReference w:type="even" r:id="rId12"/>
      <w:headerReference w:type="default" r:id="rId13"/>
      <w:footerReference w:type="even" r:id="rId14"/>
      <w:footerReference w:type="default" r:id="rId15"/>
      <w:pgSz w:w="11906" w:h="16838" w:code="9"/>
      <w:pgMar w:top="1418" w:right="1134" w:bottom="1418" w:left="1134" w:header="697" w:footer="697" w:gutter="0"/>
      <w:cols w:num="2" w:space="397"/>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325" w:rsidRDefault="00C47325" w:rsidP="00055862">
      <w:pPr>
        <w:spacing w:line="240" w:lineRule="auto"/>
      </w:pPr>
      <w:r>
        <w:separator/>
      </w:r>
    </w:p>
  </w:endnote>
  <w:endnote w:type="continuationSeparator" w:id="0">
    <w:p w:rsidR="00C47325" w:rsidRDefault="00C47325" w:rsidP="000558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신명조체">
    <w:altName w:val="HY그래픽M"/>
    <w:charset w:val="81"/>
    <w:family w:val="roman"/>
    <w:pitch w:val="variable"/>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신명조">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D9" w:rsidRPr="00E1150A" w:rsidRDefault="00C72BD9" w:rsidP="00E954CB">
    <w:pPr>
      <w:pStyle w:val="ac"/>
      <w:snapToGrid/>
      <w:spacing w:line="240" w:lineRule="auto"/>
      <w:rPr>
        <w:rFonts w:ascii="돋움" w:eastAsia="돋움" w:hAnsi="돋움"/>
        <w:b/>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D9" w:rsidRPr="009A148A" w:rsidRDefault="00C72BD9" w:rsidP="009A148A">
    <w:pPr>
      <w:pStyle w:val="ac"/>
      <w:tabs>
        <w:tab w:val="clear" w:pos="9026"/>
      </w:tabs>
      <w:snapToGrid/>
      <w:spacing w:line="240" w:lineRule="auto"/>
      <w:jc w:val="center"/>
      <w:rPr>
        <w:rFonts w:ascii="돋움" w:eastAsia="돋움" w:hAnsi="돋움"/>
        <w:b/>
        <w:sz w:val="18"/>
        <w:szCs w:val="18"/>
      </w:rPr>
    </w:pPr>
    <w:r w:rsidRPr="009A148A">
      <w:rPr>
        <w:rStyle w:val="af"/>
        <w:rFonts w:ascii="돋움" w:eastAsia="돋움" w:hAnsi="돋움" w:hint="eastAsia"/>
        <w:b/>
        <w:sz w:val="18"/>
        <w:szCs w:val="18"/>
      </w:rPr>
      <w:fldChar w:fldCharType="begin"/>
    </w:r>
    <w:r w:rsidRPr="009A148A">
      <w:rPr>
        <w:rStyle w:val="af"/>
        <w:rFonts w:ascii="돋움" w:eastAsia="돋움" w:hAnsi="돋움" w:hint="eastAsia"/>
        <w:b/>
        <w:sz w:val="18"/>
        <w:szCs w:val="18"/>
      </w:rPr>
      <w:instrText xml:space="preserve"> PAGE </w:instrText>
    </w:r>
    <w:r w:rsidRPr="009A148A">
      <w:rPr>
        <w:rStyle w:val="af"/>
        <w:rFonts w:ascii="돋움" w:eastAsia="돋움" w:hAnsi="돋움" w:hint="eastAsia"/>
        <w:b/>
        <w:sz w:val="18"/>
        <w:szCs w:val="18"/>
      </w:rPr>
      <w:fldChar w:fldCharType="separate"/>
    </w:r>
    <w:r w:rsidR="007D13E7">
      <w:rPr>
        <w:rStyle w:val="af"/>
        <w:rFonts w:ascii="돋움" w:eastAsia="돋움" w:hAnsi="돋움"/>
        <w:b/>
        <w:noProof/>
        <w:sz w:val="18"/>
        <w:szCs w:val="18"/>
      </w:rPr>
      <w:t>2</w:t>
    </w:r>
    <w:r w:rsidRPr="009A148A">
      <w:rPr>
        <w:rStyle w:val="af"/>
        <w:rFonts w:ascii="돋움" w:eastAsia="돋움" w:hAnsi="돋움" w:hint="eastAsia"/>
        <w:b/>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325" w:rsidRDefault="00C47325" w:rsidP="00055862">
      <w:pPr>
        <w:spacing w:line="240" w:lineRule="auto"/>
      </w:pPr>
      <w:r>
        <w:separator/>
      </w:r>
    </w:p>
  </w:footnote>
  <w:footnote w:type="continuationSeparator" w:id="0">
    <w:p w:rsidR="00C47325" w:rsidRDefault="00C47325" w:rsidP="000558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D9" w:rsidRPr="00C72BD9" w:rsidRDefault="00C72BD9" w:rsidP="00CD6BD3">
    <w:pPr>
      <w:pStyle w:val="ae"/>
      <w:tabs>
        <w:tab w:val="right" w:pos="9631"/>
      </w:tabs>
      <w:autoSpaceDE w:val="0"/>
      <w:autoSpaceDN w:val="0"/>
      <w:adjustRightInd w:val="0"/>
      <w:snapToGrid w:val="0"/>
      <w:spacing w:before="0" w:beforeAutospacing="0" w:after="0" w:afterAutospacing="0" w:line="80" w:lineRule="exact"/>
      <w:rPr>
        <w:rFonts w:ascii="돋움" w:eastAsia="돋움" w:hAnsi="돋움"/>
        <w:b/>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8A" w:rsidRPr="009A148A" w:rsidRDefault="009A148A" w:rsidP="009A148A">
    <w:pPr>
      <w:pStyle w:val="ae"/>
      <w:tabs>
        <w:tab w:val="right" w:pos="9631"/>
      </w:tabs>
      <w:autoSpaceDE w:val="0"/>
      <w:autoSpaceDN w:val="0"/>
      <w:adjustRightInd w:val="0"/>
      <w:snapToGrid w:val="0"/>
      <w:spacing w:before="0" w:beforeAutospacing="0" w:after="0" w:afterAutospacing="0" w:line="200" w:lineRule="exact"/>
      <w:jc w:val="both"/>
      <w:rPr>
        <w:rFonts w:ascii="돋움" w:eastAsia="돋움" w:hAnsi="돋움"/>
        <w:b/>
        <w:snapToGrid w:val="0"/>
        <w:sz w:val="17"/>
        <w:szCs w:val="17"/>
      </w:rPr>
    </w:pPr>
    <w:r w:rsidRPr="009A148A">
      <w:rPr>
        <w:rFonts w:ascii="돋움" w:eastAsia="돋움" w:hAnsi="돋움" w:hint="eastAsia"/>
        <w:b/>
        <w:snapToGrid w:val="0"/>
        <w:sz w:val="17"/>
        <w:szCs w:val="17"/>
      </w:rPr>
      <w:t>20</w:t>
    </w:r>
    <w:r w:rsidR="00E857D4">
      <w:rPr>
        <w:rFonts w:ascii="돋움" w:eastAsia="돋움" w:hAnsi="돋움"/>
        <w:b/>
        <w:snapToGrid w:val="0"/>
        <w:sz w:val="17"/>
        <w:szCs w:val="17"/>
      </w:rPr>
      <w:t>2</w:t>
    </w:r>
    <w:r w:rsidR="007A714C">
      <w:rPr>
        <w:rFonts w:ascii="돋움" w:eastAsia="돋움" w:hAnsi="돋움"/>
        <w:b/>
        <w:snapToGrid w:val="0"/>
        <w:sz w:val="17"/>
        <w:szCs w:val="17"/>
      </w:rPr>
      <w:t>1</w:t>
    </w:r>
    <w:r w:rsidRPr="009A148A">
      <w:rPr>
        <w:rFonts w:ascii="돋움" w:eastAsia="돋움" w:hAnsi="돋움" w:hint="eastAsia"/>
        <w:b/>
        <w:snapToGrid w:val="0"/>
        <w:sz w:val="17"/>
        <w:szCs w:val="17"/>
      </w:rPr>
      <w:t xml:space="preserve"> 한국군사과학기술학회 종합학술대회</w:t>
    </w:r>
    <w:r>
      <w:rPr>
        <w:rFonts w:ascii="돋움" w:eastAsia="돋움" w:hAnsi="돋움" w:hint="eastAsia"/>
        <w:b/>
        <w:snapToGrid w:val="0"/>
        <w:sz w:val="17"/>
        <w:szCs w:val="17"/>
      </w:rPr>
      <w:t xml:space="preserve"> :</w:t>
    </w:r>
    <w:r w:rsidRPr="009A148A">
      <w:rPr>
        <w:rFonts w:ascii="돋움" w:eastAsia="돋움" w:hAnsi="돋움" w:hint="eastAsia"/>
        <w:b/>
        <w:snapToGrid w:val="0"/>
        <w:sz w:val="17"/>
        <w:szCs w:val="17"/>
      </w:rPr>
      <w:t xml:space="preserve"> ○○○○ 부문</w:t>
    </w:r>
    <w:r w:rsidRPr="009A148A">
      <w:rPr>
        <w:rFonts w:ascii="돋움" w:eastAsia="돋움" w:hAnsi="돋움" w:hint="eastAsia"/>
        <w:b/>
        <w:snapToGrid w:val="0"/>
        <w:sz w:val="17"/>
        <w:szCs w:val="17"/>
      </w:rPr>
      <w:tab/>
    </w:r>
    <w:r w:rsidR="00BD164B" w:rsidRPr="00BD164B">
      <w:rPr>
        <w:rFonts w:ascii="돋움" w:eastAsia="돋움" w:hAnsi="돋움"/>
        <w:b/>
        <w:snapToGrid w:val="0"/>
        <w:sz w:val="17"/>
        <w:szCs w:val="17"/>
      </w:rPr>
      <w:t>ISSN 2636-0659(Online)</w:t>
    </w:r>
  </w:p>
  <w:p w:rsidR="00C72BD9" w:rsidRPr="009A148A" w:rsidRDefault="00C47325" w:rsidP="009A148A">
    <w:pPr>
      <w:pStyle w:val="ae"/>
      <w:tabs>
        <w:tab w:val="right" w:pos="9631"/>
      </w:tabs>
      <w:autoSpaceDE w:val="0"/>
      <w:autoSpaceDN w:val="0"/>
      <w:adjustRightInd w:val="0"/>
      <w:snapToGrid w:val="0"/>
      <w:spacing w:before="0" w:beforeAutospacing="0" w:after="0" w:afterAutospacing="0" w:line="80" w:lineRule="exact"/>
      <w:rPr>
        <w:rFonts w:ascii="돋움" w:eastAsia="돋움" w:hAnsi="돋움"/>
        <w:b/>
        <w:sz w:val="17"/>
        <w:szCs w:val="17"/>
      </w:rPr>
    </w:pPr>
    <w:r>
      <w:rPr>
        <w:rFonts w:ascii="돋움" w:eastAsia="돋움" w:hAnsi="돋움"/>
        <w:b/>
        <w:sz w:val="17"/>
        <w:szCs w:val="17"/>
      </w:rPr>
    </w:r>
    <w:r>
      <w:rPr>
        <w:rFonts w:ascii="돋움" w:eastAsia="돋움" w:hAnsi="돋움"/>
        <w:b/>
        <w:sz w:val="17"/>
        <w:szCs w:val="17"/>
      </w:rPr>
      <w:pict>
        <v:line id="직선 연결선 1" o:spid="_x0000_s2049" style="visibility:visible;mso-wrap-style:square;mso-left-percent:-10001;mso-top-percent:-10001;mso-position-horizontal:absolute;mso-position-horizontal-relative:char;mso-position-vertical:absolute;mso-position-vertical-relative:line;mso-left-percent:-10001;mso-top-percent:-10001" from="0,0" to="481.9pt,0" strokeweight=".5pt">
          <w10:wrap type="none"/>
          <w10:anchorlock/>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37129"/>
    <w:multiLevelType w:val="hybridMultilevel"/>
    <w:tmpl w:val="49826734"/>
    <w:lvl w:ilvl="0" w:tplc="DCF42100">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15:restartNumberingAfterBreak="0">
    <w:nsid w:val="6D9E1E64"/>
    <w:multiLevelType w:val="singleLevel"/>
    <w:tmpl w:val="4678DBB4"/>
    <w:lvl w:ilvl="0">
      <w:start w:val="1"/>
      <w:numFmt w:val="lowerLetter"/>
      <w:lvlText w:val="%1)"/>
      <w:lvlJc w:val="left"/>
      <w:pPr>
        <w:tabs>
          <w:tab w:val="num" w:pos="315"/>
        </w:tabs>
        <w:ind w:left="315" w:hanging="31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noPunctuationKerning/>
  <w:characterSpacingControl w:val="doNotCompress"/>
  <w:noLineBreaksAfter w:lang="ko-KR" w:val="([\{‘“〈《「『【〔＄（［｛￦"/>
  <w:noLineBreaksBefore w:lang="ko-KR" w:val="!%),.:;?]}°’”′″℃〉》」』】〕！％），．：；？］｝￠"/>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07EDE"/>
    <w:rsid w:val="000205B9"/>
    <w:rsid w:val="0004059D"/>
    <w:rsid w:val="00041BF2"/>
    <w:rsid w:val="0004348B"/>
    <w:rsid w:val="000446CD"/>
    <w:rsid w:val="0005411E"/>
    <w:rsid w:val="00055862"/>
    <w:rsid w:val="00061D58"/>
    <w:rsid w:val="000800F2"/>
    <w:rsid w:val="00087120"/>
    <w:rsid w:val="000908A5"/>
    <w:rsid w:val="000B0644"/>
    <w:rsid w:val="000C2A3C"/>
    <w:rsid w:val="000C5A69"/>
    <w:rsid w:val="000D577B"/>
    <w:rsid w:val="00101046"/>
    <w:rsid w:val="00104604"/>
    <w:rsid w:val="001176BF"/>
    <w:rsid w:val="00146D61"/>
    <w:rsid w:val="00160C35"/>
    <w:rsid w:val="001840B1"/>
    <w:rsid w:val="001954D3"/>
    <w:rsid w:val="001B0C6D"/>
    <w:rsid w:val="001C5D44"/>
    <w:rsid w:val="001E1EA0"/>
    <w:rsid w:val="00200421"/>
    <w:rsid w:val="00232AEE"/>
    <w:rsid w:val="00254E92"/>
    <w:rsid w:val="002568C2"/>
    <w:rsid w:val="00276AC0"/>
    <w:rsid w:val="002A460D"/>
    <w:rsid w:val="002C50DA"/>
    <w:rsid w:val="002F1994"/>
    <w:rsid w:val="00303E54"/>
    <w:rsid w:val="00311589"/>
    <w:rsid w:val="00345F43"/>
    <w:rsid w:val="00362A3E"/>
    <w:rsid w:val="003714F8"/>
    <w:rsid w:val="0039200B"/>
    <w:rsid w:val="00392495"/>
    <w:rsid w:val="003F405B"/>
    <w:rsid w:val="00437FAF"/>
    <w:rsid w:val="00444CC2"/>
    <w:rsid w:val="004538EB"/>
    <w:rsid w:val="00465F8D"/>
    <w:rsid w:val="004C69FF"/>
    <w:rsid w:val="004D7D52"/>
    <w:rsid w:val="004E4DCA"/>
    <w:rsid w:val="004F1063"/>
    <w:rsid w:val="00547B11"/>
    <w:rsid w:val="00554FFD"/>
    <w:rsid w:val="00565722"/>
    <w:rsid w:val="00580468"/>
    <w:rsid w:val="005A78D9"/>
    <w:rsid w:val="005C4EC3"/>
    <w:rsid w:val="006064DD"/>
    <w:rsid w:val="00622C19"/>
    <w:rsid w:val="0062427C"/>
    <w:rsid w:val="00652ECF"/>
    <w:rsid w:val="006560F3"/>
    <w:rsid w:val="00657C01"/>
    <w:rsid w:val="006649FA"/>
    <w:rsid w:val="00682794"/>
    <w:rsid w:val="006A33C2"/>
    <w:rsid w:val="006B075D"/>
    <w:rsid w:val="006B2F9E"/>
    <w:rsid w:val="00707EDE"/>
    <w:rsid w:val="00713307"/>
    <w:rsid w:val="00714AE7"/>
    <w:rsid w:val="00716C13"/>
    <w:rsid w:val="00735436"/>
    <w:rsid w:val="0075204F"/>
    <w:rsid w:val="007637D5"/>
    <w:rsid w:val="007A3864"/>
    <w:rsid w:val="007A5210"/>
    <w:rsid w:val="007A714C"/>
    <w:rsid w:val="007B176C"/>
    <w:rsid w:val="007C013D"/>
    <w:rsid w:val="007D13E7"/>
    <w:rsid w:val="007D4486"/>
    <w:rsid w:val="007E2294"/>
    <w:rsid w:val="007E6CAC"/>
    <w:rsid w:val="007F0329"/>
    <w:rsid w:val="00811BD1"/>
    <w:rsid w:val="008127CC"/>
    <w:rsid w:val="00823C2B"/>
    <w:rsid w:val="00865DF1"/>
    <w:rsid w:val="008C575B"/>
    <w:rsid w:val="008C78FF"/>
    <w:rsid w:val="009057DF"/>
    <w:rsid w:val="00922292"/>
    <w:rsid w:val="00922EAD"/>
    <w:rsid w:val="009310D8"/>
    <w:rsid w:val="00934A88"/>
    <w:rsid w:val="00961BA6"/>
    <w:rsid w:val="009A148A"/>
    <w:rsid w:val="009A7E80"/>
    <w:rsid w:val="009B57F3"/>
    <w:rsid w:val="009C5305"/>
    <w:rsid w:val="009D644B"/>
    <w:rsid w:val="009E24D9"/>
    <w:rsid w:val="009E2D18"/>
    <w:rsid w:val="009F69E5"/>
    <w:rsid w:val="00A00F8A"/>
    <w:rsid w:val="00A048B4"/>
    <w:rsid w:val="00A1618F"/>
    <w:rsid w:val="00A2414B"/>
    <w:rsid w:val="00A33E17"/>
    <w:rsid w:val="00A34B23"/>
    <w:rsid w:val="00A438E2"/>
    <w:rsid w:val="00A53EAA"/>
    <w:rsid w:val="00A55C06"/>
    <w:rsid w:val="00A9373D"/>
    <w:rsid w:val="00A95FF7"/>
    <w:rsid w:val="00AA0B0C"/>
    <w:rsid w:val="00AC1DDC"/>
    <w:rsid w:val="00AD0A35"/>
    <w:rsid w:val="00AE4F5E"/>
    <w:rsid w:val="00B06D88"/>
    <w:rsid w:val="00B17C0D"/>
    <w:rsid w:val="00B32141"/>
    <w:rsid w:val="00B34100"/>
    <w:rsid w:val="00B3669C"/>
    <w:rsid w:val="00B40189"/>
    <w:rsid w:val="00B47426"/>
    <w:rsid w:val="00B84E42"/>
    <w:rsid w:val="00B93FA9"/>
    <w:rsid w:val="00BD0EBC"/>
    <w:rsid w:val="00BD164B"/>
    <w:rsid w:val="00BE6812"/>
    <w:rsid w:val="00BF7C4B"/>
    <w:rsid w:val="00C02721"/>
    <w:rsid w:val="00C21109"/>
    <w:rsid w:val="00C36E99"/>
    <w:rsid w:val="00C47325"/>
    <w:rsid w:val="00C64BD1"/>
    <w:rsid w:val="00C72BD9"/>
    <w:rsid w:val="00C879E7"/>
    <w:rsid w:val="00CD6BD3"/>
    <w:rsid w:val="00CE2043"/>
    <w:rsid w:val="00D033D5"/>
    <w:rsid w:val="00DA66A4"/>
    <w:rsid w:val="00DC12F5"/>
    <w:rsid w:val="00DC2D1D"/>
    <w:rsid w:val="00DC4201"/>
    <w:rsid w:val="00DC53AD"/>
    <w:rsid w:val="00DD210E"/>
    <w:rsid w:val="00DD5D91"/>
    <w:rsid w:val="00DE0A52"/>
    <w:rsid w:val="00DE28C0"/>
    <w:rsid w:val="00DE7024"/>
    <w:rsid w:val="00DF0E65"/>
    <w:rsid w:val="00E1150A"/>
    <w:rsid w:val="00E85355"/>
    <w:rsid w:val="00E857D4"/>
    <w:rsid w:val="00E954CB"/>
    <w:rsid w:val="00EA0C23"/>
    <w:rsid w:val="00ED5091"/>
    <w:rsid w:val="00ED7D18"/>
    <w:rsid w:val="00EE672D"/>
    <w:rsid w:val="00EF6555"/>
    <w:rsid w:val="00F9172D"/>
    <w:rsid w:val="00FB543F"/>
    <w:rsid w:val="00FC0CC6"/>
    <w:rsid w:val="00FC482F"/>
    <w:rsid w:val="00FD2D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2C3D3998"/>
  <w15:docId w15:val="{2893C5F6-8F9E-4FC8-A116-07436FF2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CAC"/>
    <w:pPr>
      <w:widowControl w:val="0"/>
      <w:wordWrap w:val="0"/>
      <w:adjustRightInd w:val="0"/>
      <w:spacing w:line="360" w:lineRule="atLeast"/>
      <w:jc w:val="both"/>
      <w:textAlignment w:val="baseline"/>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649FA"/>
    <w:pPr>
      <w:spacing w:line="240" w:lineRule="auto"/>
    </w:pPr>
    <w:rPr>
      <w:rFonts w:eastAsia="신명조체"/>
      <w:sz w:val="18"/>
    </w:rPr>
  </w:style>
  <w:style w:type="paragraph" w:styleId="2">
    <w:name w:val="Body Text 2"/>
    <w:basedOn w:val="a"/>
    <w:rsid w:val="006649FA"/>
    <w:pPr>
      <w:autoSpaceDE w:val="0"/>
      <w:autoSpaceDN w:val="0"/>
    </w:pPr>
    <w:rPr>
      <w:rFonts w:eastAsia="굴림"/>
      <w:color w:val="000000"/>
      <w:sz w:val="48"/>
    </w:rPr>
  </w:style>
  <w:style w:type="paragraph" w:customStyle="1" w:styleId="1">
    <w:name w:val="개요 1"/>
    <w:rsid w:val="006649FA"/>
    <w:pPr>
      <w:widowControl w:val="0"/>
      <w:autoSpaceDE w:val="0"/>
      <w:autoSpaceDN w:val="0"/>
      <w:adjustRightInd w:val="0"/>
      <w:ind w:left="148" w:hanging="148"/>
      <w:jc w:val="both"/>
    </w:pPr>
    <w:rPr>
      <w:rFonts w:ascii="신명조" w:eastAsia="신명조"/>
    </w:rPr>
  </w:style>
  <w:style w:type="paragraph" w:customStyle="1" w:styleId="20">
    <w:name w:val="개요 2"/>
    <w:rsid w:val="006649FA"/>
    <w:pPr>
      <w:widowControl w:val="0"/>
      <w:autoSpaceDE w:val="0"/>
      <w:autoSpaceDN w:val="0"/>
      <w:adjustRightInd w:val="0"/>
      <w:ind w:left="348" w:hanging="148"/>
      <w:jc w:val="both"/>
    </w:pPr>
    <w:rPr>
      <w:rFonts w:ascii="신명조" w:eastAsia="신명조"/>
    </w:rPr>
  </w:style>
  <w:style w:type="paragraph" w:customStyle="1" w:styleId="3">
    <w:name w:val="개요 3"/>
    <w:rsid w:val="006649FA"/>
    <w:pPr>
      <w:widowControl w:val="0"/>
      <w:autoSpaceDE w:val="0"/>
      <w:autoSpaceDN w:val="0"/>
      <w:adjustRightInd w:val="0"/>
      <w:ind w:left="548" w:hanging="148"/>
      <w:jc w:val="both"/>
    </w:pPr>
    <w:rPr>
      <w:rFonts w:ascii="신명조" w:eastAsia="신명조"/>
    </w:rPr>
  </w:style>
  <w:style w:type="paragraph" w:customStyle="1" w:styleId="4">
    <w:name w:val="개요 4"/>
    <w:rsid w:val="006649FA"/>
    <w:pPr>
      <w:widowControl w:val="0"/>
      <w:autoSpaceDE w:val="0"/>
      <w:autoSpaceDN w:val="0"/>
      <w:adjustRightInd w:val="0"/>
      <w:ind w:left="748" w:hanging="148"/>
      <w:jc w:val="both"/>
    </w:pPr>
    <w:rPr>
      <w:rFonts w:ascii="신명조" w:eastAsia="신명조"/>
    </w:rPr>
  </w:style>
  <w:style w:type="paragraph" w:customStyle="1" w:styleId="5">
    <w:name w:val="개요 5"/>
    <w:rsid w:val="006649FA"/>
    <w:pPr>
      <w:widowControl w:val="0"/>
      <w:autoSpaceDE w:val="0"/>
      <w:autoSpaceDN w:val="0"/>
      <w:adjustRightInd w:val="0"/>
      <w:ind w:left="948" w:hanging="148"/>
      <w:jc w:val="both"/>
    </w:pPr>
    <w:rPr>
      <w:rFonts w:ascii="신명조" w:eastAsia="신명조"/>
    </w:rPr>
  </w:style>
  <w:style w:type="paragraph" w:customStyle="1" w:styleId="6">
    <w:name w:val="개요 6"/>
    <w:rsid w:val="006649FA"/>
    <w:pPr>
      <w:widowControl w:val="0"/>
      <w:autoSpaceDE w:val="0"/>
      <w:autoSpaceDN w:val="0"/>
      <w:adjustRightInd w:val="0"/>
      <w:ind w:left="1148" w:hanging="148"/>
      <w:jc w:val="both"/>
    </w:pPr>
    <w:rPr>
      <w:rFonts w:ascii="신명조" w:eastAsia="신명조"/>
    </w:rPr>
  </w:style>
  <w:style w:type="paragraph" w:customStyle="1" w:styleId="7">
    <w:name w:val="개요 7"/>
    <w:rsid w:val="006649FA"/>
    <w:pPr>
      <w:widowControl w:val="0"/>
      <w:autoSpaceDE w:val="0"/>
      <w:autoSpaceDN w:val="0"/>
      <w:adjustRightInd w:val="0"/>
      <w:ind w:left="1348" w:hanging="148"/>
      <w:jc w:val="both"/>
    </w:pPr>
    <w:rPr>
      <w:rFonts w:ascii="신명조" w:eastAsia="신명조"/>
    </w:rPr>
  </w:style>
  <w:style w:type="paragraph" w:customStyle="1" w:styleId="a4">
    <w:name w:val="쪽 번호"/>
    <w:rsid w:val="006649FA"/>
    <w:pPr>
      <w:widowControl w:val="0"/>
      <w:autoSpaceDE w:val="0"/>
      <w:autoSpaceDN w:val="0"/>
      <w:adjustRightInd w:val="0"/>
      <w:jc w:val="both"/>
    </w:pPr>
    <w:rPr>
      <w:rFonts w:ascii="신명조" w:eastAsia="신명조"/>
    </w:rPr>
  </w:style>
  <w:style w:type="paragraph" w:customStyle="1" w:styleId="a5">
    <w:name w:val="머리말"/>
    <w:rsid w:val="006649FA"/>
    <w:pPr>
      <w:widowControl w:val="0"/>
      <w:autoSpaceDE w:val="0"/>
      <w:autoSpaceDN w:val="0"/>
      <w:adjustRightInd w:val="0"/>
      <w:ind w:right="200"/>
      <w:jc w:val="right"/>
    </w:pPr>
    <w:rPr>
      <w:rFonts w:ascii="신명조" w:eastAsia="신명조"/>
      <w:sz w:val="18"/>
      <w:szCs w:val="18"/>
    </w:rPr>
  </w:style>
  <w:style w:type="paragraph" w:customStyle="1" w:styleId="a6">
    <w:name w:val="각주"/>
    <w:rsid w:val="006649FA"/>
    <w:pPr>
      <w:widowControl w:val="0"/>
      <w:autoSpaceDE w:val="0"/>
      <w:autoSpaceDN w:val="0"/>
      <w:adjustRightInd w:val="0"/>
      <w:ind w:left="264" w:hanging="264"/>
      <w:jc w:val="both"/>
    </w:pPr>
    <w:rPr>
      <w:rFonts w:ascii="신명조" w:eastAsia="신명조"/>
      <w:sz w:val="18"/>
      <w:szCs w:val="18"/>
    </w:rPr>
  </w:style>
  <w:style w:type="paragraph" w:customStyle="1" w:styleId="a7">
    <w:name w:val="그림캡션"/>
    <w:rsid w:val="006649FA"/>
    <w:pPr>
      <w:widowControl w:val="0"/>
      <w:autoSpaceDE w:val="0"/>
      <w:autoSpaceDN w:val="0"/>
      <w:adjustRightInd w:val="0"/>
      <w:jc w:val="both"/>
    </w:pPr>
    <w:rPr>
      <w:rFonts w:ascii="신명조" w:eastAsia="신명조"/>
      <w:sz w:val="18"/>
      <w:szCs w:val="18"/>
    </w:rPr>
  </w:style>
  <w:style w:type="paragraph" w:customStyle="1" w:styleId="a8">
    <w:name w:val="표캡션"/>
    <w:rsid w:val="006649FA"/>
    <w:pPr>
      <w:widowControl w:val="0"/>
      <w:autoSpaceDE w:val="0"/>
      <w:autoSpaceDN w:val="0"/>
      <w:adjustRightInd w:val="0"/>
      <w:jc w:val="both"/>
    </w:pPr>
    <w:rPr>
      <w:rFonts w:ascii="신명조" w:eastAsia="신명조"/>
      <w:sz w:val="18"/>
      <w:szCs w:val="18"/>
    </w:rPr>
  </w:style>
  <w:style w:type="paragraph" w:customStyle="1" w:styleId="a9">
    <w:name w:val="수식캡션"/>
    <w:rsid w:val="006649FA"/>
    <w:pPr>
      <w:widowControl w:val="0"/>
      <w:autoSpaceDE w:val="0"/>
      <w:autoSpaceDN w:val="0"/>
      <w:adjustRightInd w:val="0"/>
      <w:jc w:val="both"/>
    </w:pPr>
    <w:rPr>
      <w:rFonts w:ascii="신명조" w:eastAsia="신명조"/>
      <w:sz w:val="18"/>
      <w:szCs w:val="18"/>
    </w:rPr>
  </w:style>
  <w:style w:type="paragraph" w:customStyle="1" w:styleId="aa">
    <w:name w:val="찾아보기"/>
    <w:rsid w:val="006649FA"/>
    <w:pPr>
      <w:widowControl w:val="0"/>
      <w:autoSpaceDE w:val="0"/>
      <w:autoSpaceDN w:val="0"/>
      <w:adjustRightInd w:val="0"/>
      <w:jc w:val="both"/>
    </w:pPr>
    <w:rPr>
      <w:rFonts w:ascii="신명조" w:eastAsia="신명조"/>
      <w:sz w:val="18"/>
      <w:szCs w:val="18"/>
    </w:rPr>
  </w:style>
  <w:style w:type="paragraph" w:customStyle="1" w:styleId="hstyle0">
    <w:name w:val="hstyle0"/>
    <w:basedOn w:val="a"/>
    <w:rsid w:val="00922292"/>
    <w:pPr>
      <w:widowControl/>
      <w:wordWrap/>
      <w:adjustRightInd/>
      <w:spacing w:line="432" w:lineRule="auto"/>
      <w:textAlignment w:val="auto"/>
    </w:pPr>
    <w:rPr>
      <w:rFonts w:ascii="한양신명조" w:eastAsia="한양신명조" w:hAnsi="굴림" w:cs="굴림"/>
      <w:color w:val="000000"/>
    </w:rPr>
  </w:style>
  <w:style w:type="paragraph" w:styleId="ab">
    <w:name w:val="header"/>
    <w:basedOn w:val="a"/>
    <w:link w:val="Char"/>
    <w:rsid w:val="00055862"/>
    <w:pPr>
      <w:tabs>
        <w:tab w:val="center" w:pos="4513"/>
        <w:tab w:val="right" w:pos="9026"/>
      </w:tabs>
      <w:snapToGrid w:val="0"/>
    </w:pPr>
  </w:style>
  <w:style w:type="character" w:customStyle="1" w:styleId="Char">
    <w:name w:val="머리글 Char"/>
    <w:basedOn w:val="a0"/>
    <w:link w:val="ab"/>
    <w:rsid w:val="00055862"/>
  </w:style>
  <w:style w:type="paragraph" w:styleId="ac">
    <w:name w:val="footer"/>
    <w:basedOn w:val="a"/>
    <w:link w:val="Char0"/>
    <w:rsid w:val="00055862"/>
    <w:pPr>
      <w:tabs>
        <w:tab w:val="center" w:pos="4513"/>
        <w:tab w:val="right" w:pos="9026"/>
      </w:tabs>
      <w:snapToGrid w:val="0"/>
    </w:pPr>
  </w:style>
  <w:style w:type="character" w:customStyle="1" w:styleId="Char0">
    <w:name w:val="바닥글 Char"/>
    <w:basedOn w:val="a0"/>
    <w:link w:val="ac"/>
    <w:rsid w:val="00055862"/>
  </w:style>
  <w:style w:type="paragraph" w:styleId="ad">
    <w:name w:val="Balloon Text"/>
    <w:basedOn w:val="a"/>
    <w:link w:val="Char1"/>
    <w:rsid w:val="007B176C"/>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d"/>
    <w:rsid w:val="007B176C"/>
    <w:rPr>
      <w:rFonts w:asciiTheme="majorHAnsi" w:eastAsiaTheme="majorEastAsia" w:hAnsiTheme="majorHAnsi" w:cstheme="majorBidi"/>
      <w:sz w:val="18"/>
      <w:szCs w:val="18"/>
    </w:rPr>
  </w:style>
  <w:style w:type="paragraph" w:styleId="ae">
    <w:name w:val="Normal (Web)"/>
    <w:basedOn w:val="a"/>
    <w:unhideWhenUsed/>
    <w:rsid w:val="00C72BD9"/>
    <w:pPr>
      <w:widowControl/>
      <w:wordWrap/>
      <w:adjustRightInd/>
      <w:spacing w:before="100" w:beforeAutospacing="1" w:after="100" w:afterAutospacing="1" w:line="240" w:lineRule="auto"/>
      <w:jc w:val="left"/>
      <w:textAlignment w:val="auto"/>
    </w:pPr>
    <w:rPr>
      <w:rFonts w:ascii="굴림" w:eastAsia="굴림" w:hAnsi="굴림" w:cs="굴림"/>
      <w:sz w:val="24"/>
      <w:szCs w:val="24"/>
    </w:rPr>
  </w:style>
  <w:style w:type="character" w:styleId="af">
    <w:name w:val="page number"/>
    <w:basedOn w:val="a0"/>
    <w:rsid w:val="00C72BD9"/>
  </w:style>
  <w:style w:type="paragraph" w:customStyle="1" w:styleId="af0">
    <w:name w:val="바탕글"/>
    <w:basedOn w:val="a"/>
    <w:rsid w:val="00160C35"/>
    <w:pPr>
      <w:autoSpaceDE w:val="0"/>
      <w:autoSpaceDN w:val="0"/>
      <w:adjustRightInd/>
      <w:snapToGrid w:val="0"/>
      <w:spacing w:line="384" w:lineRule="auto"/>
    </w:pPr>
    <w:rPr>
      <w:rFonts w:ascii="굴림" w:eastAsia="굴림" w:hAnsi="굴림" w:cs="굴림"/>
      <w:color w:val="000000"/>
      <w:sz w:val="18"/>
      <w:szCs w:val="18"/>
    </w:rPr>
  </w:style>
  <w:style w:type="table" w:styleId="af1">
    <w:name w:val="Table Grid"/>
    <w:basedOn w:val="a1"/>
    <w:rsid w:val="00A43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1356">
      <w:bodyDiv w:val="1"/>
      <w:marLeft w:val="0"/>
      <w:marRight w:val="0"/>
      <w:marTop w:val="0"/>
      <w:marBottom w:val="0"/>
      <w:divBdr>
        <w:top w:val="none" w:sz="0" w:space="0" w:color="auto"/>
        <w:left w:val="none" w:sz="0" w:space="0" w:color="auto"/>
        <w:bottom w:val="none" w:sz="0" w:space="0" w:color="auto"/>
        <w:right w:val="none" w:sz="0" w:space="0" w:color="auto"/>
      </w:divBdr>
    </w:div>
    <w:div w:id="155270484">
      <w:bodyDiv w:val="1"/>
      <w:marLeft w:val="0"/>
      <w:marRight w:val="0"/>
      <w:marTop w:val="0"/>
      <w:marBottom w:val="0"/>
      <w:divBdr>
        <w:top w:val="none" w:sz="0" w:space="0" w:color="auto"/>
        <w:left w:val="none" w:sz="0" w:space="0" w:color="auto"/>
        <w:bottom w:val="none" w:sz="0" w:space="0" w:color="auto"/>
        <w:right w:val="none" w:sz="0" w:space="0" w:color="auto"/>
      </w:divBdr>
    </w:div>
    <w:div w:id="635180736">
      <w:bodyDiv w:val="1"/>
      <w:marLeft w:val="0"/>
      <w:marRight w:val="0"/>
      <w:marTop w:val="0"/>
      <w:marBottom w:val="0"/>
      <w:divBdr>
        <w:top w:val="none" w:sz="0" w:space="0" w:color="auto"/>
        <w:left w:val="none" w:sz="0" w:space="0" w:color="auto"/>
        <w:bottom w:val="none" w:sz="0" w:space="0" w:color="auto"/>
        <w:right w:val="none" w:sz="0" w:space="0" w:color="auto"/>
      </w:divBdr>
    </w:div>
    <w:div w:id="166947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BEF5-A0E8-4103-BAFE-8FE1F8BC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2</Pages>
  <Words>817</Words>
  <Characters>4662</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제목</vt:lpstr>
    </vt:vector>
  </TitlesOfParts>
  <Company>office</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제목</dc:title>
  <dc:creator>asdf</dc:creator>
  <cp:lastModifiedBy>sjkim</cp:lastModifiedBy>
  <cp:revision>107</cp:revision>
  <cp:lastPrinted>2019-03-05T05:09:00Z</cp:lastPrinted>
  <dcterms:created xsi:type="dcterms:W3CDTF">2013-03-21T04:14:00Z</dcterms:created>
  <dcterms:modified xsi:type="dcterms:W3CDTF">2021-05-13T02:31:00Z</dcterms:modified>
</cp:coreProperties>
</file>